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49" w:rsidRPr="00C963F7" w:rsidRDefault="008C4949" w:rsidP="00C963F7">
      <w:pPr>
        <w:pStyle w:val="Default"/>
        <w:spacing w:line="360" w:lineRule="auto"/>
        <w:jc w:val="both"/>
        <w:rPr>
          <w:rFonts w:ascii="Myriad Pro" w:hAnsi="Myriad Pro" w:cs="Times New Roman"/>
          <w:color w:val="auto"/>
          <w:spacing w:val="6"/>
          <w:lang w:bidi="en-US"/>
        </w:rPr>
      </w:pPr>
      <w:bookmarkStart w:id="0" w:name="_GoBack"/>
      <w:bookmarkEnd w:id="0"/>
    </w:p>
    <w:p w:rsidR="00940621" w:rsidRPr="00C963F7" w:rsidRDefault="00940621" w:rsidP="00C963F7">
      <w:pPr>
        <w:pStyle w:val="Default"/>
        <w:spacing w:line="360" w:lineRule="auto"/>
        <w:jc w:val="both"/>
        <w:rPr>
          <w:rFonts w:ascii="Myriad Pro" w:hAnsi="Myriad Pro" w:cs="Times New Roman"/>
          <w:color w:val="auto"/>
          <w:spacing w:val="6"/>
          <w:lang w:bidi="en-US"/>
        </w:rPr>
      </w:pPr>
      <w:r w:rsidRPr="00C963F7">
        <w:rPr>
          <w:rFonts w:ascii="Myriad Pro" w:hAnsi="Myriad Pro" w:cs="Times New Roman"/>
          <w:color w:val="auto"/>
          <w:spacing w:val="6"/>
          <w:lang w:bidi="en-US"/>
        </w:rPr>
        <w:t>The following content providers have joined the LGfL USO Federation.</w:t>
      </w:r>
      <w:r w:rsidRPr="00C963F7">
        <w:rPr>
          <w:rFonts w:ascii="Myriad Pro" w:hAnsi="Myriad Pro" w:cs="Times New Roman"/>
          <w:color w:val="auto"/>
          <w:spacing w:val="6"/>
          <w:lang w:bidi="en-US"/>
        </w:rPr>
        <w:t xml:space="preserve"> </w:t>
      </w:r>
      <w:r w:rsidRPr="00C963F7">
        <w:rPr>
          <w:rFonts w:ascii="Myriad Pro" w:hAnsi="Myriad Pro" w:cs="Times New Roman"/>
          <w:color w:val="auto"/>
          <w:spacing w:val="6"/>
          <w:lang w:bidi="en-US"/>
        </w:rPr>
        <w:t xml:space="preserve">Membership of the </w:t>
      </w:r>
      <w:proofErr w:type="spellStart"/>
      <w:r w:rsidRPr="00C963F7">
        <w:rPr>
          <w:rFonts w:ascii="Myriad Pro" w:hAnsi="Myriad Pro" w:cs="Times New Roman"/>
          <w:color w:val="auto"/>
          <w:spacing w:val="6"/>
          <w:lang w:bidi="en-US"/>
        </w:rPr>
        <w:t>LGfLaai</w:t>
      </w:r>
      <w:proofErr w:type="spellEnd"/>
      <w:r w:rsidRPr="00C963F7">
        <w:rPr>
          <w:rFonts w:ascii="Myriad Pro" w:hAnsi="Myriad Pro" w:cs="Times New Roman"/>
          <w:color w:val="auto"/>
          <w:spacing w:val="6"/>
          <w:lang w:bidi="en-US"/>
        </w:rPr>
        <w:t xml:space="preserve"> means that some or all of the products these companies provide can be accessed using the LGfL USO, if the school has subscribed to the product.</w:t>
      </w:r>
    </w:p>
    <w:p w:rsidR="00940621" w:rsidRPr="00C963F7" w:rsidRDefault="00940621" w:rsidP="00C963F7">
      <w:pPr>
        <w:pStyle w:val="Default"/>
        <w:spacing w:line="360" w:lineRule="auto"/>
        <w:jc w:val="both"/>
        <w:rPr>
          <w:rFonts w:ascii="Myriad Pro" w:hAnsi="Myriad Pro" w:cs="Times New Roman"/>
          <w:color w:val="auto"/>
          <w:spacing w:val="6"/>
          <w:lang w:bidi="en-US"/>
        </w:rPr>
      </w:pPr>
    </w:p>
    <w:p w:rsidR="007B0F8C" w:rsidRPr="00C963F7" w:rsidRDefault="00940621" w:rsidP="00C963F7">
      <w:pPr>
        <w:pStyle w:val="Default"/>
        <w:spacing w:line="360" w:lineRule="auto"/>
        <w:jc w:val="both"/>
        <w:rPr>
          <w:rFonts w:ascii="Myriad Pro" w:hAnsi="Myriad Pro" w:cs="Times New Roman"/>
          <w:color w:val="auto"/>
          <w:spacing w:val="6"/>
          <w:lang w:bidi="en-US"/>
        </w:rPr>
      </w:pPr>
      <w:r w:rsidRPr="00C963F7">
        <w:rPr>
          <w:rFonts w:ascii="Myriad Pro" w:hAnsi="Myriad Pro" w:cs="Times New Roman"/>
          <w:color w:val="auto"/>
          <w:spacing w:val="6"/>
          <w:lang w:bidi="en-US"/>
        </w:rPr>
        <w:t>For further information about specific products accessible via LGfL USO from content providers  – please contact the provider directly.</w:t>
      </w:r>
    </w:p>
    <w:tbl>
      <w:tblPr>
        <w:tblStyle w:val="TableGrid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969"/>
      </w:tblGrid>
      <w:tr w:rsidR="00940621" w:rsidRPr="00C963F7" w:rsidTr="00C963F7">
        <w:trPr>
          <w:jc w:val="center"/>
        </w:trPr>
        <w:tc>
          <w:tcPr>
            <w:tcW w:w="3402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en-GB"/>
              </w:rPr>
            </w:pPr>
            <w:r w:rsidRPr="00C963F7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en-GB"/>
              </w:rPr>
              <w:t>Content provider</w:t>
            </w:r>
          </w:p>
        </w:tc>
        <w:tc>
          <w:tcPr>
            <w:tcW w:w="3969" w:type="dxa"/>
            <w:vAlign w:val="bottom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en-GB"/>
              </w:rPr>
            </w:pPr>
            <w:r w:rsidRPr="00C963F7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en-GB"/>
              </w:rPr>
              <w:t>Support organisation</w:t>
            </w:r>
          </w:p>
        </w:tc>
      </w:tr>
      <w:tr w:rsidR="00940621" w:rsidRPr="00C963F7" w:rsidTr="00C963F7">
        <w:trPr>
          <w:trHeight w:val="1335"/>
          <w:jc w:val="center"/>
        </w:trPr>
        <w:tc>
          <w:tcPr>
            <w:tcW w:w="3402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hAnsi="Myriad Pro"/>
                <w:noProof/>
                <w:sz w:val="24"/>
                <w:szCs w:val="24"/>
                <w:lang w:eastAsia="en-GB"/>
              </w:rPr>
            </w:pPr>
            <w:r w:rsidRPr="00C963F7">
              <w:rPr>
                <w:rFonts w:ascii="Myriad Pro" w:hAnsi="Myriad Pro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19577" cy="866692"/>
                  <wp:effectExtent l="0" t="0" r="0" b="0"/>
                  <wp:docPr id="5" name="Picture 5" descr="http://www.lgfl.net/SiteCollectionImages/Services/Federation%20Icons/Microso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gfl.net/SiteCollectionImages/Services/Federation%20Icons/Microso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172" cy="87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en-GB"/>
              </w:rPr>
            </w:pPr>
            <w:hyperlink r:id="rId8" w:history="1">
              <w:r w:rsidRPr="00C963F7">
                <w:rPr>
                  <w:rStyle w:val="Hyperlink"/>
                  <w:rFonts w:ascii="Myriad Pro" w:eastAsia="Times New Roman" w:hAnsi="Myriad Pro" w:cs="Times New Roman"/>
                  <w:sz w:val="24"/>
                  <w:szCs w:val="24"/>
                  <w:lang w:eastAsia="en-GB"/>
                </w:rPr>
                <w:t>microsoft.com/</w:t>
              </w:r>
              <w:proofErr w:type="spellStart"/>
              <w:r w:rsidRPr="00C963F7">
                <w:rPr>
                  <w:rStyle w:val="Hyperlink"/>
                  <w:rFonts w:ascii="Myriad Pro" w:eastAsia="Times New Roman" w:hAnsi="Myriad Pro" w:cs="Times New Roman"/>
                  <w:sz w:val="24"/>
                  <w:szCs w:val="24"/>
                  <w:lang w:eastAsia="en-GB"/>
                </w:rPr>
                <w:t>en</w:t>
              </w:r>
              <w:proofErr w:type="spellEnd"/>
              <w:r w:rsidRPr="00C963F7">
                <w:rPr>
                  <w:rStyle w:val="Hyperlink"/>
                  <w:rFonts w:ascii="Myriad Pro" w:eastAsia="Times New Roman" w:hAnsi="Myriad Pro" w:cs="Times New Roman"/>
                  <w:sz w:val="24"/>
                  <w:szCs w:val="24"/>
                  <w:lang w:eastAsia="en-GB"/>
                </w:rPr>
                <w:t>-us/education</w:t>
              </w:r>
            </w:hyperlink>
          </w:p>
        </w:tc>
      </w:tr>
      <w:tr w:rsidR="00940621" w:rsidRPr="00C963F7" w:rsidTr="00C963F7">
        <w:trPr>
          <w:trHeight w:val="1371"/>
          <w:jc w:val="center"/>
        </w:trPr>
        <w:tc>
          <w:tcPr>
            <w:tcW w:w="3402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hAnsi="Myriad Pro"/>
                <w:noProof/>
                <w:sz w:val="24"/>
                <w:szCs w:val="24"/>
                <w:lang w:eastAsia="en-GB"/>
              </w:rPr>
            </w:pPr>
            <w:r w:rsidRPr="00C963F7">
              <w:rPr>
                <w:rFonts w:ascii="Myriad Pro" w:hAnsi="Myriad Pro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11249" cy="860773"/>
                  <wp:effectExtent l="0" t="0" r="8255" b="0"/>
                  <wp:docPr id="1" name="Picture 1" descr="http://www.lgfl.net/SiteCollectionImages/Services/Federation%20Icons/2Si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gfl.net/SiteCollectionImages/Services/Federation%20Icons/2Sim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82" cy="88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Pr="00C963F7">
                <w:rPr>
                  <w:rStyle w:val="Hyperlink"/>
                  <w:rFonts w:ascii="Myriad Pro" w:eastAsia="Times New Roman" w:hAnsi="Myriad Pro" w:cs="Times New Roman"/>
                  <w:sz w:val="24"/>
                  <w:szCs w:val="24"/>
                  <w:lang w:eastAsia="en-GB"/>
                </w:rPr>
                <w:t>2simple.com/contact</w:t>
              </w:r>
            </w:hyperlink>
          </w:p>
        </w:tc>
      </w:tr>
      <w:tr w:rsidR="00940621" w:rsidRPr="00C963F7" w:rsidTr="00C963F7">
        <w:trPr>
          <w:trHeight w:val="1293"/>
          <w:jc w:val="center"/>
        </w:trPr>
        <w:tc>
          <w:tcPr>
            <w:tcW w:w="3402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hAnsi="Myriad Pro"/>
                <w:noProof/>
                <w:sz w:val="24"/>
                <w:szCs w:val="24"/>
                <w:lang w:eastAsia="en-GB"/>
              </w:rPr>
            </w:pPr>
            <w:r w:rsidRPr="00C963F7">
              <w:rPr>
                <w:rFonts w:ascii="Myriad Pro" w:hAnsi="Myriad Pro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92696" cy="847589"/>
                  <wp:effectExtent l="0" t="0" r="7620" b="0"/>
                  <wp:docPr id="2" name="Picture 2" descr="http://www.lgfl.net/SiteCollectionImages/Mark/espre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lgfl.net/SiteCollectionImages/Mark/espre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47" cy="87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en-GB"/>
              </w:rPr>
            </w:pPr>
            <w:hyperlink r:id="rId12" w:history="1">
              <w:r w:rsidRPr="00C963F7">
                <w:rPr>
                  <w:rStyle w:val="Hyperlink"/>
                  <w:rFonts w:ascii="Myriad Pro" w:eastAsia="Times New Roman" w:hAnsi="Myriad Pro" w:cs="Times New Roman"/>
                  <w:sz w:val="24"/>
                  <w:szCs w:val="24"/>
                  <w:lang w:eastAsia="en-GB"/>
                </w:rPr>
                <w:t>discoveryeducation.co.uk/what-we-offer/discovery-education-espresso</w:t>
              </w:r>
            </w:hyperlink>
          </w:p>
        </w:tc>
      </w:tr>
      <w:tr w:rsidR="00940621" w:rsidRPr="00C963F7" w:rsidTr="00C963F7">
        <w:trPr>
          <w:trHeight w:val="1421"/>
          <w:jc w:val="center"/>
        </w:trPr>
        <w:tc>
          <w:tcPr>
            <w:tcW w:w="3402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hAnsi="Myriad Pro"/>
                <w:sz w:val="24"/>
                <w:szCs w:val="24"/>
                <w:lang w:eastAsia="en-GB"/>
              </w:rPr>
            </w:pPr>
            <w:r w:rsidRPr="00C963F7">
              <w:rPr>
                <w:rFonts w:ascii="Myriad Pro" w:hAnsi="Myriad Pro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68704" cy="830539"/>
                  <wp:effectExtent l="0" t="0" r="0" b="8255"/>
                  <wp:docPr id="6" name="Picture 6" descr="http://www.lgfl.net/SiteCollectionImages/Mark/clipb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gfl.net/SiteCollectionImages/Mark/clipb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10" cy="86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Pr="00C963F7">
                <w:rPr>
                  <w:rStyle w:val="Hyperlink"/>
                  <w:rFonts w:ascii="Myriad Pro" w:eastAsia="Times New Roman" w:hAnsi="Myriad Pro" w:cs="Times New Roman"/>
                  <w:sz w:val="24"/>
                  <w:szCs w:val="24"/>
                  <w:lang w:eastAsia="en-GB"/>
                </w:rPr>
                <w:t>discoveryeducation.co.uk/what-we-offer/discovery-education-secondary</w:t>
              </w:r>
            </w:hyperlink>
          </w:p>
        </w:tc>
      </w:tr>
      <w:tr w:rsidR="00940621" w:rsidRPr="00C963F7" w:rsidTr="00C963F7">
        <w:trPr>
          <w:trHeight w:val="1355"/>
          <w:jc w:val="center"/>
        </w:trPr>
        <w:tc>
          <w:tcPr>
            <w:tcW w:w="3402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hAnsi="Myriad Pro"/>
                <w:noProof/>
                <w:sz w:val="24"/>
                <w:szCs w:val="24"/>
                <w:lang w:eastAsia="en-GB"/>
              </w:rPr>
            </w:pPr>
            <w:r w:rsidRPr="00C963F7">
              <w:rPr>
                <w:rFonts w:ascii="Myriad Pro" w:hAnsi="Myriad Pro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7036" cy="808034"/>
                  <wp:effectExtent l="0" t="0" r="6350" b="0"/>
                  <wp:docPr id="9" name="Picture 9" descr="http://www.lgfl.net/SiteCollectionImages/Services/Federation%20Icons/J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lgfl.net/SiteCollectionImages/Services/Federation%20Icons/J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15" cy="83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Pr="00C963F7">
                <w:rPr>
                  <w:rStyle w:val="Hyperlink"/>
                  <w:rFonts w:ascii="Myriad Pro" w:eastAsia="Times New Roman" w:hAnsi="Myriad Pro" w:cs="Times New Roman"/>
                  <w:sz w:val="24"/>
                  <w:szCs w:val="24"/>
                  <w:lang w:eastAsia="en-GB"/>
                </w:rPr>
                <w:t>just2easy.com/contact-us/</w:t>
              </w:r>
            </w:hyperlink>
          </w:p>
        </w:tc>
      </w:tr>
      <w:tr w:rsidR="00940621" w:rsidRPr="00C963F7" w:rsidTr="00C963F7">
        <w:trPr>
          <w:trHeight w:val="1403"/>
          <w:jc w:val="center"/>
        </w:trPr>
        <w:tc>
          <w:tcPr>
            <w:tcW w:w="3402" w:type="dxa"/>
            <w:vAlign w:val="center"/>
          </w:tcPr>
          <w:p w:rsidR="00940621" w:rsidRPr="00C963F7" w:rsidRDefault="00940621" w:rsidP="00C963F7">
            <w:pPr>
              <w:tabs>
                <w:tab w:val="left" w:pos="1889"/>
              </w:tabs>
              <w:spacing w:line="360" w:lineRule="auto"/>
              <w:jc w:val="center"/>
              <w:rPr>
                <w:rFonts w:ascii="Myriad Pro" w:hAnsi="Myriad Pro"/>
                <w:noProof/>
                <w:sz w:val="24"/>
                <w:szCs w:val="24"/>
                <w:lang w:eastAsia="en-GB"/>
              </w:rPr>
            </w:pPr>
            <w:r w:rsidRPr="00C963F7">
              <w:rPr>
                <w:rFonts w:ascii="Myriad Pro" w:hAnsi="Myriad Pro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28781" cy="802166"/>
                  <wp:effectExtent l="0" t="0" r="0" b="0"/>
                  <wp:docPr id="8" name="Picture 8" descr="http://www.lgfl.net/SiteCollectionImages/Services/Federation%20Icons/Fro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gfl.net/SiteCollectionImages/Services/Federation%20Icons/Fro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59" cy="81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hAnsi="Myriad Pro"/>
                <w:noProof/>
                <w:sz w:val="24"/>
                <w:szCs w:val="24"/>
                <w:lang w:eastAsia="en-GB"/>
              </w:rPr>
            </w:pPr>
            <w:hyperlink r:id="rId18" w:history="1">
              <w:r w:rsidRPr="00C963F7">
                <w:rPr>
                  <w:rStyle w:val="Hyperlink"/>
                  <w:rFonts w:ascii="Myriad Pro" w:hAnsi="Myriad Pro"/>
                  <w:noProof/>
                  <w:sz w:val="24"/>
                  <w:szCs w:val="24"/>
                  <w:lang w:eastAsia="en-GB"/>
                </w:rPr>
                <w:t>itslearning.eu/fronter-support</w:t>
              </w:r>
            </w:hyperlink>
          </w:p>
        </w:tc>
      </w:tr>
      <w:tr w:rsidR="00940621" w:rsidRPr="00C963F7" w:rsidTr="00C963F7">
        <w:trPr>
          <w:trHeight w:val="1266"/>
          <w:jc w:val="center"/>
        </w:trPr>
        <w:tc>
          <w:tcPr>
            <w:tcW w:w="3402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hAnsi="Myriad Pro"/>
                <w:noProof/>
                <w:sz w:val="24"/>
                <w:szCs w:val="24"/>
                <w:lang w:eastAsia="en-GB"/>
              </w:rPr>
            </w:pPr>
            <w:r w:rsidRPr="00C963F7">
              <w:rPr>
                <w:rFonts w:ascii="Myriad Pro" w:hAnsi="Myriad Pro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6871" cy="807916"/>
                  <wp:effectExtent l="0" t="0" r="6350" b="0"/>
                  <wp:docPr id="7" name="Picture 7" descr="http://www.lgfl.net/SiteCollectionImages/Mark/math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gfl.net/SiteCollectionImages/Mark/math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61" cy="81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40621" w:rsidRPr="00C963F7" w:rsidRDefault="00940621" w:rsidP="00C963F7">
            <w:pPr>
              <w:spacing w:line="360" w:lineRule="auto"/>
              <w:jc w:val="center"/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en-GB"/>
              </w:rPr>
            </w:pPr>
            <w:hyperlink r:id="rId20" w:history="1">
              <w:r w:rsidRPr="00C963F7">
                <w:rPr>
                  <w:rStyle w:val="Hyperlink"/>
                  <w:rFonts w:ascii="Myriad Pro" w:eastAsia="Times New Roman" w:hAnsi="Myriad Pro" w:cs="Times New Roman"/>
                  <w:sz w:val="24"/>
                  <w:szCs w:val="24"/>
                  <w:lang w:eastAsia="en-GB"/>
                </w:rPr>
                <w:t>https://mathspace.co/lgfl/</w:t>
              </w:r>
            </w:hyperlink>
          </w:p>
        </w:tc>
      </w:tr>
    </w:tbl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  <w:b/>
        </w:rPr>
      </w:pPr>
      <w:r w:rsidRPr="00C963F7">
        <w:rPr>
          <w:rFonts w:ascii="Myriad Pro" w:hAnsi="Myriad Pro" w:cs="Times New Roman"/>
          <w:b/>
        </w:rPr>
        <w:t>What i</w:t>
      </w:r>
      <w:r w:rsidRPr="00C963F7">
        <w:rPr>
          <w:rFonts w:ascii="Myriad Pro" w:hAnsi="Myriad Pro" w:cs="Times New Roman"/>
          <w:b/>
        </w:rPr>
        <w:t xml:space="preserve">s </w:t>
      </w:r>
      <w:proofErr w:type="spellStart"/>
      <w:r w:rsidRPr="00C963F7">
        <w:rPr>
          <w:rFonts w:ascii="Myriad Pro" w:hAnsi="Myriad Pro" w:cs="Times New Roman"/>
          <w:b/>
        </w:rPr>
        <w:t>LGfLaai</w:t>
      </w:r>
      <w:proofErr w:type="spellEnd"/>
      <w:r w:rsidRPr="00C963F7">
        <w:rPr>
          <w:rFonts w:ascii="Myriad Pro" w:hAnsi="Myriad Pro" w:cs="Times New Roman"/>
          <w:b/>
        </w:rPr>
        <w:t>?</w:t>
      </w:r>
    </w:p>
    <w:p w:rsidR="007B0F8C" w:rsidRPr="00C963F7" w:rsidRDefault="007B0F8C" w:rsidP="00C963F7">
      <w:pPr>
        <w:pStyle w:val="Default"/>
        <w:spacing w:line="360" w:lineRule="auto"/>
        <w:ind w:hanging="11"/>
        <w:jc w:val="both"/>
        <w:rPr>
          <w:rFonts w:ascii="Myriad Pro" w:hAnsi="Myriad Pro" w:cs="Times New Roman"/>
        </w:rPr>
      </w:pPr>
      <w:r w:rsidRPr="00C963F7">
        <w:rPr>
          <w:rFonts w:ascii="Myriad Pro" w:hAnsi="Myriad Pro" w:cs="Times New Roman"/>
        </w:rPr>
        <w:t xml:space="preserve">The London Grid for Learning manages its own access management system called the LGfL Authentication and Interoperability Federation </w:t>
      </w:r>
      <w:r w:rsidRPr="00C963F7">
        <w:rPr>
          <w:rFonts w:ascii="Myriad Pro" w:hAnsi="Myriad Pro" w:cs="Times New Roman"/>
        </w:rPr>
        <w:t>(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>)</w:t>
      </w:r>
      <w:r w:rsidRPr="00C963F7">
        <w:rPr>
          <w:rFonts w:ascii="Myriad Pro" w:hAnsi="Myriad Pro" w:cs="Times New Roman"/>
        </w:rPr>
        <w:t xml:space="preserve">. The Federation was set up to allow schools to use the USO (unique sign-on) system to access resources and platforms they have subscribed to from third-party organisations without needing new login credentials. 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 xml:space="preserve"> </w:t>
      </w:r>
      <w:r w:rsidRPr="00C963F7">
        <w:rPr>
          <w:rFonts w:ascii="Myriad Pro" w:hAnsi="Myriad Pro" w:cs="Times New Roman"/>
        </w:rPr>
        <w:t>ensures that the use of data that is used between online services complies with the data Protection Act.</w:t>
      </w:r>
    </w:p>
    <w:p w:rsidR="007B0F8C" w:rsidRPr="00C963F7" w:rsidRDefault="007B0F8C" w:rsidP="00C963F7">
      <w:pPr>
        <w:pStyle w:val="Default"/>
        <w:spacing w:line="360" w:lineRule="auto"/>
        <w:ind w:left="720" w:hanging="720"/>
        <w:jc w:val="both"/>
        <w:rPr>
          <w:rFonts w:ascii="Myriad Pro" w:hAnsi="Myriad Pro" w:cs="Times New Roman"/>
        </w:rPr>
      </w:pP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  <w:b/>
        </w:rPr>
      </w:pPr>
      <w:r w:rsidRPr="00C963F7">
        <w:rPr>
          <w:rFonts w:ascii="Myriad Pro" w:hAnsi="Myriad Pro" w:cs="Times New Roman"/>
          <w:b/>
        </w:rPr>
        <w:t xml:space="preserve">How does </w:t>
      </w:r>
      <w:proofErr w:type="spellStart"/>
      <w:r w:rsidRPr="00C963F7">
        <w:rPr>
          <w:rFonts w:ascii="Myriad Pro" w:hAnsi="Myriad Pro" w:cs="Times New Roman"/>
          <w:b/>
        </w:rPr>
        <w:t>LGfLaai</w:t>
      </w:r>
      <w:proofErr w:type="spellEnd"/>
      <w:r w:rsidRPr="00C963F7">
        <w:rPr>
          <w:rFonts w:ascii="Myriad Pro" w:hAnsi="Myriad Pro" w:cs="Times New Roman"/>
          <w:b/>
        </w:rPr>
        <w:t xml:space="preserve"> benefit schools?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  <w:r w:rsidRPr="00C963F7">
        <w:rPr>
          <w:rFonts w:ascii="Myriad Pro" w:hAnsi="Myriad Pro" w:cs="Times New Roman"/>
        </w:rPr>
        <w:t xml:space="preserve">Schools can use the LGfL USO log in to access additional, non LGfL 2.0 services, via the 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>.</w:t>
      </w:r>
      <w:r w:rsidRPr="00C963F7">
        <w:rPr>
          <w:rFonts w:ascii="Myriad Pro" w:hAnsi="Myriad Pro" w:cs="Times New Roman"/>
        </w:rPr>
        <w:t xml:space="preserve"> </w:t>
      </w:r>
      <w:r w:rsidRPr="00C963F7">
        <w:rPr>
          <w:rFonts w:ascii="Myriad Pro" w:hAnsi="Myriad Pro" w:cs="Times New Roman"/>
        </w:rPr>
        <w:t>Teachers and pupils do not need to remember more than one log in to access all their day to day online services.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  <w:b/>
        </w:rPr>
      </w:pPr>
      <w:r w:rsidRPr="00C963F7">
        <w:rPr>
          <w:rFonts w:ascii="Myriad Pro" w:hAnsi="Myriad Pro" w:cs="Times New Roman"/>
          <w:b/>
        </w:rPr>
        <w:t xml:space="preserve">What </w:t>
      </w:r>
      <w:r w:rsidRPr="00C963F7">
        <w:rPr>
          <w:rFonts w:ascii="Myriad Pro" w:hAnsi="Myriad Pro" w:cs="Times New Roman"/>
          <w:b/>
        </w:rPr>
        <w:t xml:space="preserve">the benefits of </w:t>
      </w:r>
      <w:proofErr w:type="spellStart"/>
      <w:r w:rsidRPr="00C963F7">
        <w:rPr>
          <w:rFonts w:ascii="Myriad Pro" w:hAnsi="Myriad Pro" w:cs="Times New Roman"/>
          <w:b/>
        </w:rPr>
        <w:t>LGfLaai</w:t>
      </w:r>
      <w:proofErr w:type="spellEnd"/>
      <w:r w:rsidRPr="00C963F7">
        <w:rPr>
          <w:rFonts w:ascii="Myriad Pro" w:hAnsi="Myriad Pro" w:cs="Times New Roman"/>
          <w:b/>
        </w:rPr>
        <w:t xml:space="preserve"> to c</w:t>
      </w:r>
      <w:r w:rsidRPr="00C963F7">
        <w:rPr>
          <w:rFonts w:ascii="Myriad Pro" w:hAnsi="Myriad Pro" w:cs="Times New Roman"/>
          <w:b/>
        </w:rPr>
        <w:t>ontent providers?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 xml:space="preserve"> members can use the ease and convenience of the ex</w:t>
      </w:r>
      <w:r w:rsidRPr="00C963F7">
        <w:rPr>
          <w:rFonts w:ascii="Myriad Pro" w:hAnsi="Myriad Pro" w:cs="Times New Roman"/>
        </w:rPr>
        <w:t>isting LGfL USO service in LGfL-</w:t>
      </w:r>
      <w:r w:rsidRPr="00C963F7">
        <w:rPr>
          <w:rFonts w:ascii="Myriad Pro" w:hAnsi="Myriad Pro" w:cs="Times New Roman"/>
        </w:rPr>
        <w:t>connected schools to provide access to their licensed content or online service.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  <w:b/>
        </w:rPr>
      </w:pPr>
      <w:r w:rsidRPr="00C963F7">
        <w:rPr>
          <w:rFonts w:ascii="Myriad Pro" w:hAnsi="Myriad Pro" w:cs="Times New Roman"/>
          <w:b/>
        </w:rPr>
        <w:t xml:space="preserve">Is there any LGfL editorial evaluation of the content provided by </w:t>
      </w:r>
      <w:proofErr w:type="spellStart"/>
      <w:r w:rsidRPr="00C963F7">
        <w:rPr>
          <w:rFonts w:ascii="Myriad Pro" w:hAnsi="Myriad Pro" w:cs="Times New Roman"/>
          <w:b/>
        </w:rPr>
        <w:t>LGfL</w:t>
      </w:r>
      <w:r w:rsidRPr="00C963F7">
        <w:rPr>
          <w:rFonts w:ascii="Myriad Pro" w:hAnsi="Myriad Pro" w:cs="Times New Roman"/>
          <w:b/>
        </w:rPr>
        <w:t>aai</w:t>
      </w:r>
      <w:proofErr w:type="spellEnd"/>
      <w:r w:rsidRPr="00C963F7">
        <w:rPr>
          <w:rFonts w:ascii="Myriad Pro" w:hAnsi="Myriad Pro" w:cs="Times New Roman"/>
          <w:b/>
        </w:rPr>
        <w:t xml:space="preserve"> providers?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  <w:r w:rsidRPr="00C963F7">
        <w:rPr>
          <w:rFonts w:ascii="Myriad Pro" w:hAnsi="Myriad Pro" w:cs="Times New Roman"/>
        </w:rPr>
        <w:t>LGfL operates a strict quality assurance process on all LGfL 2.0 online learning resources via the LGfL Editorial Board.</w:t>
      </w:r>
      <w:r w:rsidRPr="00C963F7">
        <w:rPr>
          <w:rFonts w:ascii="Myriad Pro" w:hAnsi="Myriad Pro" w:cs="Times New Roman"/>
        </w:rPr>
        <w:t xml:space="preserve"> </w:t>
      </w:r>
      <w:r w:rsidRPr="00C963F7">
        <w:rPr>
          <w:rFonts w:ascii="Myriad Pro" w:hAnsi="Myriad Pro" w:cs="Times New Roman"/>
        </w:rPr>
        <w:t xml:space="preserve">However, there is no equivalent editorial assessment on the quality, suitability or appropriateness of 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 xml:space="preserve"> members content or services.</w:t>
      </w:r>
      <w:r w:rsidRPr="00C963F7">
        <w:rPr>
          <w:rFonts w:ascii="Myriad Pro" w:hAnsi="Myriad Pro" w:cs="Times New Roman"/>
        </w:rPr>
        <w:t xml:space="preserve"> </w:t>
      </w:r>
      <w:r w:rsidRPr="00C963F7">
        <w:rPr>
          <w:rFonts w:ascii="Myriad Pro" w:hAnsi="Myriad Pro" w:cs="Times New Roman"/>
        </w:rPr>
        <w:t xml:space="preserve">The responsibility is on the school to ensure that any 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 xml:space="preserve"> content provider service or resource meets the needs of their school community.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  <w:r w:rsidRPr="00C963F7">
        <w:rPr>
          <w:rFonts w:ascii="Myriad Pro" w:hAnsi="Myriad Pro" w:cs="Times New Roman"/>
        </w:rPr>
        <w:t xml:space="preserve">However, all members of the 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 xml:space="preserve"> have to pass a thorough application pr</w:t>
      </w:r>
      <w:r w:rsidRPr="00C963F7">
        <w:rPr>
          <w:rFonts w:ascii="Myriad Pro" w:hAnsi="Myriad Pro" w:cs="Times New Roman"/>
        </w:rPr>
        <w:t>ocess that ensures d</w:t>
      </w:r>
      <w:r w:rsidRPr="00C963F7">
        <w:rPr>
          <w:rFonts w:ascii="Myriad Pro" w:hAnsi="Myriad Pro" w:cs="Times New Roman"/>
        </w:rPr>
        <w:t>ata security requirements that guarantee that pupil data is safe and secure and will not be viewed by anyone that is unauthorised.</w:t>
      </w:r>
      <w:r w:rsidRPr="00C963F7">
        <w:rPr>
          <w:rFonts w:ascii="Myriad Pro" w:hAnsi="Myriad Pro" w:cs="Times New Roman"/>
        </w:rPr>
        <w:t xml:space="preserve"> </w:t>
      </w:r>
      <w:r w:rsidRPr="00C963F7">
        <w:rPr>
          <w:rFonts w:ascii="Myriad Pro" w:hAnsi="Myriad Pro" w:cs="Times New Roman"/>
        </w:rPr>
        <w:t>Performance of related online systems that provide access to the resources</w:t>
      </w:r>
      <w:r w:rsidRPr="00C963F7">
        <w:rPr>
          <w:rFonts w:ascii="Myriad Pro" w:hAnsi="Myriad Pro" w:cs="Times New Roman"/>
        </w:rPr>
        <w:t xml:space="preserve"> is also scrutinised</w:t>
      </w:r>
      <w:r w:rsidRPr="00C963F7">
        <w:rPr>
          <w:rFonts w:ascii="Myriad Pro" w:hAnsi="Myriad Pro" w:cs="Times New Roman"/>
        </w:rPr>
        <w:t>.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  <w:b/>
        </w:rPr>
      </w:pPr>
      <w:r w:rsidRPr="00C963F7">
        <w:rPr>
          <w:rFonts w:ascii="Myriad Pro" w:hAnsi="Myriad Pro" w:cs="Times New Roman"/>
          <w:b/>
        </w:rPr>
        <w:t xml:space="preserve">What </w:t>
      </w:r>
      <w:r w:rsidRPr="00C963F7">
        <w:rPr>
          <w:rFonts w:ascii="Myriad Pro" w:hAnsi="Myriad Pro" w:cs="Times New Roman"/>
          <w:b/>
        </w:rPr>
        <w:t xml:space="preserve">is the </w:t>
      </w:r>
      <w:r w:rsidRPr="00C963F7">
        <w:rPr>
          <w:rFonts w:ascii="Myriad Pro" w:hAnsi="Myriad Pro" w:cs="Times New Roman"/>
          <w:b/>
        </w:rPr>
        <w:t xml:space="preserve">process to </w:t>
      </w:r>
      <w:r w:rsidRPr="00C963F7">
        <w:rPr>
          <w:rFonts w:ascii="Myriad Pro" w:hAnsi="Myriad Pro" w:cs="Times New Roman"/>
          <w:b/>
        </w:rPr>
        <w:t xml:space="preserve">join </w:t>
      </w:r>
      <w:proofErr w:type="spellStart"/>
      <w:r w:rsidRPr="00C963F7">
        <w:rPr>
          <w:rFonts w:ascii="Myriad Pro" w:hAnsi="Myriad Pro" w:cs="Times New Roman"/>
          <w:b/>
        </w:rPr>
        <w:t>LGfLaai</w:t>
      </w:r>
      <w:proofErr w:type="spellEnd"/>
      <w:r w:rsidRPr="00C963F7">
        <w:rPr>
          <w:rFonts w:ascii="Myriad Pro" w:hAnsi="Myriad Pro" w:cs="Times New Roman"/>
          <w:b/>
        </w:rPr>
        <w:t>?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  <w:r w:rsidRPr="00C963F7">
        <w:rPr>
          <w:rFonts w:ascii="Myriad Pro" w:hAnsi="Myriad Pro" w:cs="Times New Roman"/>
        </w:rPr>
        <w:lastRenderedPageBreak/>
        <w:t xml:space="preserve">All enquiries regarding joining 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 xml:space="preserve"> should in the first instance </w:t>
      </w:r>
      <w:r w:rsidRPr="00C963F7">
        <w:rPr>
          <w:rFonts w:ascii="Myriad Pro" w:hAnsi="Myriad Pro" w:cs="Times New Roman"/>
        </w:rPr>
        <w:t xml:space="preserve">be directed to </w:t>
      </w:r>
      <w:hyperlink r:id="rId21" w:history="1">
        <w:r w:rsidRPr="00C963F7">
          <w:rPr>
            <w:rStyle w:val="Hyperlink"/>
            <w:rFonts w:ascii="Myriad Pro" w:hAnsi="Myriad Pro" w:cs="Times New Roman"/>
          </w:rPr>
          <w:t>contentsupport@lgfl.org.uk</w:t>
        </w:r>
      </w:hyperlink>
      <w:r w:rsidRPr="00C963F7">
        <w:rPr>
          <w:rFonts w:ascii="Myriad Pro" w:hAnsi="Myriad Pro" w:cs="Times New Roman"/>
        </w:rPr>
        <w:t>.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  <w:r w:rsidRPr="00C963F7">
        <w:rPr>
          <w:rFonts w:ascii="Myriad Pro" w:hAnsi="Myriad Pro" w:cs="Times New Roman"/>
        </w:rPr>
        <w:t xml:space="preserve">Potential 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 xml:space="preserve"> content providers will need to complete an online registration process, which includes entering into a contract guaranteeing data security and </w:t>
      </w:r>
      <w:r w:rsidRPr="00C963F7">
        <w:rPr>
          <w:rFonts w:ascii="Myriad Pro" w:hAnsi="Myriad Pro" w:cs="Times New Roman"/>
        </w:rPr>
        <w:t>online-</w:t>
      </w:r>
      <w:r w:rsidRPr="00C963F7">
        <w:rPr>
          <w:rFonts w:ascii="Myriad Pro" w:hAnsi="Myriad Pro" w:cs="Times New Roman"/>
        </w:rPr>
        <w:t>safety requirements.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  <w:b/>
        </w:rPr>
      </w:pPr>
      <w:r w:rsidRPr="00C963F7">
        <w:rPr>
          <w:rFonts w:ascii="Myriad Pro" w:hAnsi="Myriad Pro" w:cs="Times New Roman"/>
          <w:b/>
        </w:rPr>
        <w:t>How much does it cost for a service provider</w:t>
      </w:r>
      <w:r w:rsidRPr="00C963F7">
        <w:rPr>
          <w:rFonts w:ascii="Myriad Pro" w:hAnsi="Myriad Pro" w:cs="Times New Roman"/>
          <w:b/>
        </w:rPr>
        <w:t xml:space="preserve"> </w:t>
      </w:r>
      <w:r w:rsidRPr="00C963F7">
        <w:rPr>
          <w:rFonts w:ascii="Myriad Pro" w:hAnsi="Myriad Pro" w:cs="Times New Roman"/>
          <w:b/>
        </w:rPr>
        <w:t xml:space="preserve">to join </w:t>
      </w:r>
      <w:proofErr w:type="spellStart"/>
      <w:r w:rsidRPr="00C963F7">
        <w:rPr>
          <w:rFonts w:ascii="Myriad Pro" w:hAnsi="Myriad Pro" w:cs="Times New Roman"/>
          <w:b/>
        </w:rPr>
        <w:t>LGfLaai</w:t>
      </w:r>
      <w:proofErr w:type="spellEnd"/>
      <w:r w:rsidRPr="00C963F7">
        <w:rPr>
          <w:rFonts w:ascii="Myriad Pro" w:hAnsi="Myriad Pro" w:cs="Times New Roman"/>
          <w:b/>
        </w:rPr>
        <w:t>?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  <w:r w:rsidRPr="00C963F7">
        <w:rPr>
          <w:rFonts w:ascii="Myriad Pro" w:hAnsi="Myriad Pro" w:cs="Times New Roman"/>
        </w:rPr>
        <w:t>There is a nominal admin charge of £300 (</w:t>
      </w:r>
      <w:proofErr w:type="spellStart"/>
      <w:r w:rsidRPr="00C963F7">
        <w:rPr>
          <w:rFonts w:ascii="Myriad Pro" w:hAnsi="Myriad Pro" w:cs="Times New Roman"/>
        </w:rPr>
        <w:t>inc</w:t>
      </w:r>
      <w:r w:rsidRPr="00C963F7">
        <w:rPr>
          <w:rFonts w:ascii="Myriad Pro" w:hAnsi="Myriad Pro" w:cs="Times New Roman"/>
        </w:rPr>
        <w:t>l</w:t>
      </w:r>
      <w:proofErr w:type="spellEnd"/>
      <w:r w:rsidRPr="00C963F7">
        <w:rPr>
          <w:rFonts w:ascii="Myriad Pro" w:hAnsi="Myriad Pro" w:cs="Times New Roman"/>
        </w:rPr>
        <w:t xml:space="preserve"> VAT) to cover the cost of joining 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>.</w:t>
      </w:r>
      <w:r w:rsidRPr="00C963F7">
        <w:rPr>
          <w:rFonts w:ascii="Myriad Pro" w:hAnsi="Myriad Pro" w:cs="Times New Roman"/>
        </w:rPr>
        <w:t xml:space="preserve"> </w:t>
      </w:r>
      <w:r w:rsidRPr="00C963F7">
        <w:rPr>
          <w:rFonts w:ascii="Myriad Pro" w:hAnsi="Myriad Pro" w:cs="Times New Roman"/>
        </w:rPr>
        <w:t xml:space="preserve">There is no further charge for 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 xml:space="preserve"> service providers after the initial registration has been successfully completed.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</w:p>
    <w:p w:rsidR="007B0F8C" w:rsidRPr="00C963F7" w:rsidRDefault="007B0F8C" w:rsidP="00C963F7">
      <w:pPr>
        <w:spacing w:after="0" w:line="360" w:lineRule="auto"/>
        <w:rPr>
          <w:rFonts w:ascii="Myriad Pro" w:hAnsi="Myriad Pro" w:cs="Times New Roman"/>
          <w:b/>
          <w:sz w:val="24"/>
          <w:szCs w:val="24"/>
        </w:rPr>
      </w:pPr>
      <w:r w:rsidRPr="00C963F7">
        <w:rPr>
          <w:rFonts w:ascii="Myriad Pro" w:hAnsi="Myriad Pro" w:cs="Times New Roman"/>
          <w:b/>
          <w:sz w:val="24"/>
          <w:szCs w:val="24"/>
        </w:rPr>
        <w:t xml:space="preserve">What are the requirements of joining </w:t>
      </w:r>
      <w:proofErr w:type="spellStart"/>
      <w:r w:rsidRPr="00C963F7">
        <w:rPr>
          <w:rFonts w:ascii="Myriad Pro" w:hAnsi="Myriad Pro" w:cs="Times New Roman"/>
          <w:b/>
          <w:sz w:val="24"/>
          <w:szCs w:val="24"/>
        </w:rPr>
        <w:t>LGfLaai?</w:t>
      </w:r>
      <w:proofErr w:type="spellEnd"/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  <w:r w:rsidRPr="00C963F7">
        <w:rPr>
          <w:rFonts w:ascii="Myriad Pro" w:hAnsi="Myriad Pro" w:cs="Times New Roman"/>
        </w:rPr>
        <w:t xml:space="preserve">All LGfL Federation members are required to sign a </w:t>
      </w:r>
      <w:r w:rsidRPr="00C963F7">
        <w:rPr>
          <w:rFonts w:ascii="Myriad Pro" w:hAnsi="Myriad Pro" w:cs="Times New Roman"/>
        </w:rPr>
        <w:t>non-d</w:t>
      </w:r>
      <w:r w:rsidRPr="00C963F7">
        <w:rPr>
          <w:rFonts w:ascii="Myriad Pro" w:hAnsi="Myriad Pro" w:cs="Times New Roman"/>
        </w:rPr>
        <w:t xml:space="preserve">isclosure Agreement (NDA) that covers the documents that outline the 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>. The NDA must be completed before any access can be granted to the detail of the LGfL Federation framework.</w:t>
      </w: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</w:p>
    <w:p w:rsidR="007B0F8C" w:rsidRPr="00C963F7" w:rsidRDefault="007B0F8C" w:rsidP="00C963F7">
      <w:pPr>
        <w:pStyle w:val="Default"/>
        <w:spacing w:line="360" w:lineRule="auto"/>
        <w:jc w:val="both"/>
        <w:rPr>
          <w:rFonts w:ascii="Myriad Pro" w:hAnsi="Myriad Pro" w:cs="Times New Roman"/>
        </w:rPr>
      </w:pPr>
      <w:r w:rsidRPr="00C963F7">
        <w:rPr>
          <w:rFonts w:ascii="Myriad Pro" w:hAnsi="Myriad Pro" w:cs="Times New Roman"/>
        </w:rPr>
        <w:t>Content provider</w:t>
      </w:r>
      <w:r w:rsidRPr="00C963F7">
        <w:rPr>
          <w:rFonts w:ascii="Myriad Pro" w:hAnsi="Myriad Pro" w:cs="Times New Roman"/>
        </w:rPr>
        <w:t>s will be expected to guarantee c</w:t>
      </w:r>
      <w:r w:rsidRPr="00C963F7">
        <w:rPr>
          <w:rFonts w:ascii="Myriad Pro" w:hAnsi="Myriad Pro" w:cs="Times New Roman"/>
        </w:rPr>
        <w:t xml:space="preserve">ompliance with all requirements of the Data Protection Act regarding the security, validity, accuracy and completeness of all data contained within the </w:t>
      </w:r>
      <w:proofErr w:type="spellStart"/>
      <w:r w:rsidRPr="00C963F7">
        <w:rPr>
          <w:rFonts w:ascii="Myriad Pro" w:hAnsi="Myriad Pro" w:cs="Times New Roman"/>
        </w:rPr>
        <w:t>LGfLaai</w:t>
      </w:r>
      <w:proofErr w:type="spellEnd"/>
      <w:r w:rsidRPr="00C963F7">
        <w:rPr>
          <w:rFonts w:ascii="Myriad Pro" w:hAnsi="Myriad Pro" w:cs="Times New Roman"/>
        </w:rPr>
        <w:t>.</w:t>
      </w:r>
      <w:r w:rsidRPr="00C963F7">
        <w:rPr>
          <w:rFonts w:ascii="Myriad Pro" w:hAnsi="Myriad Pro" w:cs="Times New Roman"/>
        </w:rPr>
        <w:t xml:space="preserve"> </w:t>
      </w:r>
      <w:r w:rsidRPr="00C963F7">
        <w:rPr>
          <w:rFonts w:ascii="Myriad Pro" w:hAnsi="Myriad Pro" w:cs="Times New Roman"/>
        </w:rPr>
        <w:t xml:space="preserve">The Federated Service Provider will </w:t>
      </w:r>
      <w:r w:rsidRPr="00C963F7">
        <w:rPr>
          <w:rFonts w:ascii="Myriad Pro" w:hAnsi="Myriad Pro" w:cs="Times New Roman"/>
        </w:rPr>
        <w:t xml:space="preserve">also </w:t>
      </w:r>
      <w:r w:rsidRPr="00C963F7">
        <w:rPr>
          <w:rFonts w:ascii="Myriad Pro" w:hAnsi="Myriad Pro" w:cs="Times New Roman"/>
        </w:rPr>
        <w:t>be expected to provide the CRB number or Criminal Convictions Certificate of the person(s) within the content provider that will have access to dat</w:t>
      </w:r>
      <w:r w:rsidRPr="00C963F7">
        <w:rPr>
          <w:rFonts w:ascii="Myriad Pro" w:hAnsi="Myriad Pro" w:cs="Times New Roman"/>
        </w:rPr>
        <w:t xml:space="preserve">a contained within the </w:t>
      </w:r>
      <w:proofErr w:type="spellStart"/>
      <w:r w:rsidRPr="00C963F7">
        <w:rPr>
          <w:rFonts w:ascii="Myriad Pro" w:hAnsi="Myriad Pro" w:cs="Times New Roman"/>
        </w:rPr>
        <w:t>LGfLaii</w:t>
      </w:r>
      <w:proofErr w:type="spellEnd"/>
      <w:r w:rsidRPr="00C963F7">
        <w:rPr>
          <w:rFonts w:ascii="Myriad Pro" w:hAnsi="Myriad Pro" w:cs="Times New Roman"/>
        </w:rPr>
        <w:t>.</w:t>
      </w:r>
    </w:p>
    <w:sectPr w:rsidR="007B0F8C" w:rsidRPr="00C963F7" w:rsidSect="005639CC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10" w:rsidRDefault="00303410" w:rsidP="001E3F46">
      <w:pPr>
        <w:spacing w:after="0" w:line="240" w:lineRule="auto"/>
      </w:pPr>
      <w:r>
        <w:separator/>
      </w:r>
    </w:p>
  </w:endnote>
  <w:endnote w:type="continuationSeparator" w:id="0">
    <w:p w:rsidR="00303410" w:rsidRDefault="00303410" w:rsidP="001E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6A" w:rsidRDefault="00D0536A" w:rsidP="00D0536A">
    <w:pPr>
      <w:pStyle w:val="Footer"/>
      <w:tabs>
        <w:tab w:val="clear" w:pos="4513"/>
        <w:tab w:val="clear" w:pos="9026"/>
      </w:tabs>
      <w:jc w:val="center"/>
      <w:rPr>
        <w:rFonts w:ascii="Myriad Pro" w:hAnsi="Myriad Pro" w:cs="Times New Roman"/>
        <w:sz w:val="24"/>
        <w:szCs w:val="24"/>
      </w:rPr>
    </w:pPr>
    <w:r w:rsidRPr="00002FA0">
      <w:rPr>
        <w:rFonts w:ascii="Myriad Pro" w:hAnsi="Myriad Pro" w:cs="Times New Roman"/>
        <w:sz w:val="24"/>
        <w:szCs w:val="24"/>
      </w:rPr>
      <w:t xml:space="preserve">Updated: </w:t>
    </w:r>
    <w:r w:rsidR="008C4949">
      <w:rPr>
        <w:rFonts w:ascii="Myriad Pro" w:hAnsi="Myriad Pro" w:cs="Times New Roman"/>
        <w:sz w:val="24"/>
        <w:szCs w:val="24"/>
      </w:rPr>
      <w:fldChar w:fldCharType="begin"/>
    </w:r>
    <w:r w:rsidR="008C4949">
      <w:rPr>
        <w:rFonts w:ascii="Myriad Pro" w:hAnsi="Myriad Pro" w:cs="Times New Roman"/>
        <w:sz w:val="24"/>
        <w:szCs w:val="24"/>
      </w:rPr>
      <w:instrText xml:space="preserve"> DATE \@ "dd/MM/yyyy" </w:instrText>
    </w:r>
    <w:r w:rsidR="008C4949">
      <w:rPr>
        <w:rFonts w:ascii="Myriad Pro" w:hAnsi="Myriad Pro" w:cs="Times New Roman"/>
        <w:sz w:val="24"/>
        <w:szCs w:val="24"/>
      </w:rPr>
      <w:fldChar w:fldCharType="separate"/>
    </w:r>
    <w:r w:rsidR="000B27BB">
      <w:rPr>
        <w:rFonts w:ascii="Myriad Pro" w:hAnsi="Myriad Pro" w:cs="Times New Roman"/>
        <w:noProof/>
        <w:sz w:val="24"/>
        <w:szCs w:val="24"/>
      </w:rPr>
      <w:t>17/02/2016</w:t>
    </w:r>
    <w:r w:rsidR="008C4949">
      <w:rPr>
        <w:rFonts w:ascii="Myriad Pro" w:hAnsi="Myriad Pro" w:cs="Times New Roman"/>
        <w:sz w:val="24"/>
        <w:szCs w:val="24"/>
      </w:rPr>
      <w:fldChar w:fldCharType="end"/>
    </w:r>
  </w:p>
  <w:p w:rsidR="008C4949" w:rsidRPr="00002FA0" w:rsidRDefault="008C4949" w:rsidP="00D0536A">
    <w:pPr>
      <w:pStyle w:val="Footer"/>
      <w:tabs>
        <w:tab w:val="clear" w:pos="4513"/>
        <w:tab w:val="clear" w:pos="9026"/>
      </w:tabs>
      <w:jc w:val="center"/>
      <w:rPr>
        <w:rFonts w:ascii="Myriad Pro" w:hAnsi="Myriad Pro" w:cs="Times New Roman"/>
        <w:sz w:val="24"/>
        <w:szCs w:val="24"/>
      </w:rPr>
    </w:pPr>
  </w:p>
  <w:p w:rsidR="00D0536A" w:rsidRPr="00002FA0" w:rsidRDefault="00D0536A" w:rsidP="00D0536A">
    <w:pPr>
      <w:pStyle w:val="Footer"/>
      <w:tabs>
        <w:tab w:val="clear" w:pos="4513"/>
        <w:tab w:val="clear" w:pos="9026"/>
      </w:tabs>
      <w:jc w:val="center"/>
      <w:rPr>
        <w:rFonts w:ascii="Myriad Pro" w:hAnsi="Myriad Pro" w:cs="Times New Roman"/>
        <w:sz w:val="24"/>
        <w:szCs w:val="24"/>
      </w:rPr>
    </w:pPr>
    <w:r w:rsidRPr="00002FA0">
      <w:rPr>
        <w:rFonts w:ascii="Myriad Pro" w:hAnsi="Myriad Pro" w:cs="Times New Roman"/>
        <w:sz w:val="24"/>
        <w:szCs w:val="24"/>
      </w:rPr>
      <w:t xml:space="preserve">© </w:t>
    </w:r>
    <w:r w:rsidR="00303410" w:rsidRPr="00002FA0">
      <w:rPr>
        <w:rFonts w:ascii="Myriad Pro" w:hAnsi="Myriad Pro" w:cs="Times New Roman"/>
        <w:sz w:val="24"/>
        <w:szCs w:val="24"/>
      </w:rPr>
      <w:t>London Grid for Learning</w:t>
    </w:r>
    <w:r w:rsidRPr="00002FA0">
      <w:rPr>
        <w:rFonts w:ascii="Myriad Pro" w:hAnsi="Myriad Pro" w:cs="Times New Roman"/>
        <w:sz w:val="24"/>
        <w:szCs w:val="24"/>
      </w:rPr>
      <w:t xml:space="preserve"> (</w:t>
    </w:r>
    <w:hyperlink r:id="rId1" w:history="1">
      <w:r w:rsidRPr="00002FA0">
        <w:rPr>
          <w:rStyle w:val="Hyperlink"/>
          <w:rFonts w:ascii="Myriad Pro" w:hAnsi="Myriad Pro" w:cs="Times New Roman"/>
          <w:sz w:val="24"/>
          <w:szCs w:val="24"/>
        </w:rPr>
        <w:t>www.lgfl.net</w:t>
      </w:r>
    </w:hyperlink>
    <w:r w:rsidRPr="00002FA0">
      <w:rPr>
        <w:rFonts w:ascii="Myriad Pro" w:hAnsi="Myriad Pro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10" w:rsidRDefault="00303410" w:rsidP="001E3F46">
      <w:pPr>
        <w:spacing w:after="0" w:line="240" w:lineRule="auto"/>
      </w:pPr>
      <w:r>
        <w:separator/>
      </w:r>
    </w:p>
  </w:footnote>
  <w:footnote w:type="continuationSeparator" w:id="0">
    <w:p w:rsidR="00303410" w:rsidRDefault="00303410" w:rsidP="001E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BC" w:rsidRPr="00DE28BC" w:rsidRDefault="00940621" w:rsidP="00940621">
    <w:pPr>
      <w:pStyle w:val="Header"/>
      <w:jc w:val="center"/>
    </w:pPr>
    <w:r w:rsidRPr="00744A8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10C4A8" wp14:editId="395544D6">
          <wp:simplePos x="0" y="0"/>
          <wp:positionH relativeFrom="column">
            <wp:posOffset>4528820</wp:posOffset>
          </wp:positionH>
          <wp:positionV relativeFrom="paragraph">
            <wp:posOffset>-84928</wp:posOffset>
          </wp:positionV>
          <wp:extent cx="1200785" cy="424180"/>
          <wp:effectExtent l="0" t="0" r="0" b="0"/>
          <wp:wrapTight wrapText="bothSides">
            <wp:wrapPolygon edited="0">
              <wp:start x="0" y="0"/>
              <wp:lineTo x="0" y="20371"/>
              <wp:lineTo x="21246" y="20371"/>
              <wp:lineTo x="21246" y="0"/>
              <wp:lineTo x="0" y="0"/>
            </wp:wrapPolygon>
          </wp:wrapTight>
          <wp:docPr id="3" name="Picture 3" descr="../Documents/LGfL%20Folder/BETT/Vector%20graphic%20logos/LGfL%20logos/New%20LGfL%20logo%202015/New%20versions/LGFL%20NEW%20LOGO%20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LGfL%20Folder/BETT/Vector%20graphic%20logos/LGfL%20logos/New%20LGfL%20logo%202015/New%20versions/LGFL%20NEW%20LOGO%20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8BC" w:rsidRPr="00DE28BC">
      <w:rPr>
        <w:rFonts w:ascii="Myriad Pro" w:hAnsi="Myriad Pro" w:cs="Arial"/>
        <w:b/>
        <w:sz w:val="32"/>
      </w:rPr>
      <w:t xml:space="preserve">LGfL </w:t>
    </w:r>
    <w:r w:rsidR="00470FFC">
      <w:rPr>
        <w:rFonts w:ascii="Myriad Pro" w:hAnsi="Myriad Pro" w:cs="Arial"/>
        <w:b/>
        <w:sz w:val="32"/>
      </w:rPr>
      <w:t>A</w:t>
    </w:r>
    <w:r>
      <w:rPr>
        <w:rFonts w:ascii="Myriad Pro" w:hAnsi="Myriad Pro" w:cs="Arial"/>
        <w:b/>
        <w:sz w:val="32"/>
      </w:rPr>
      <w:t>cce</w:t>
    </w:r>
    <w:r w:rsidR="00470FFC">
      <w:rPr>
        <w:rFonts w:ascii="Myriad Pro" w:hAnsi="Myriad Pro" w:cs="Arial"/>
        <w:b/>
        <w:sz w:val="32"/>
      </w:rPr>
      <w:t>ss</w:t>
    </w:r>
    <w:r>
      <w:rPr>
        <w:rFonts w:ascii="Myriad Pro" w:hAnsi="Myriad Pro" w:cs="Arial"/>
        <w:b/>
        <w:sz w:val="32"/>
      </w:rPr>
      <w:t xml:space="preserve"> Management Federation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F40"/>
    <w:multiLevelType w:val="hybridMultilevel"/>
    <w:tmpl w:val="02DA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640F"/>
    <w:multiLevelType w:val="hybridMultilevel"/>
    <w:tmpl w:val="A4A6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90BE5"/>
    <w:multiLevelType w:val="multilevel"/>
    <w:tmpl w:val="ED7A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D45BC"/>
    <w:multiLevelType w:val="hybridMultilevel"/>
    <w:tmpl w:val="BA0623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4"/>
    <w:rsid w:val="00002FA0"/>
    <w:rsid w:val="00011257"/>
    <w:rsid w:val="000241E4"/>
    <w:rsid w:val="000463DD"/>
    <w:rsid w:val="000474B9"/>
    <w:rsid w:val="00050D20"/>
    <w:rsid w:val="00061056"/>
    <w:rsid w:val="000B27BB"/>
    <w:rsid w:val="000C21DF"/>
    <w:rsid w:val="000D0E33"/>
    <w:rsid w:val="000D72E5"/>
    <w:rsid w:val="000E05B3"/>
    <w:rsid w:val="000E549E"/>
    <w:rsid w:val="00103285"/>
    <w:rsid w:val="00111A51"/>
    <w:rsid w:val="00114EAB"/>
    <w:rsid w:val="001221D0"/>
    <w:rsid w:val="00146B18"/>
    <w:rsid w:val="0016080F"/>
    <w:rsid w:val="001708E4"/>
    <w:rsid w:val="001752EF"/>
    <w:rsid w:val="00186F30"/>
    <w:rsid w:val="0019059A"/>
    <w:rsid w:val="001A1B60"/>
    <w:rsid w:val="001B0E0F"/>
    <w:rsid w:val="001C520D"/>
    <w:rsid w:val="001E3F46"/>
    <w:rsid w:val="001F2FA7"/>
    <w:rsid w:val="00211073"/>
    <w:rsid w:val="002159AA"/>
    <w:rsid w:val="00217930"/>
    <w:rsid w:val="00241E58"/>
    <w:rsid w:val="00253FC2"/>
    <w:rsid w:val="00294224"/>
    <w:rsid w:val="002A190A"/>
    <w:rsid w:val="002C3201"/>
    <w:rsid w:val="002C79C1"/>
    <w:rsid w:val="00303410"/>
    <w:rsid w:val="00310FA9"/>
    <w:rsid w:val="003513BC"/>
    <w:rsid w:val="00381694"/>
    <w:rsid w:val="00381B56"/>
    <w:rsid w:val="003C4F62"/>
    <w:rsid w:val="003D1628"/>
    <w:rsid w:val="003D3DAE"/>
    <w:rsid w:val="003D5197"/>
    <w:rsid w:val="003E28DF"/>
    <w:rsid w:val="003F1054"/>
    <w:rsid w:val="003F6D38"/>
    <w:rsid w:val="004005F6"/>
    <w:rsid w:val="00404289"/>
    <w:rsid w:val="004108C9"/>
    <w:rsid w:val="004125CF"/>
    <w:rsid w:val="00433B11"/>
    <w:rsid w:val="004357D7"/>
    <w:rsid w:val="00441E67"/>
    <w:rsid w:val="0044334D"/>
    <w:rsid w:val="00457C04"/>
    <w:rsid w:val="00470FFC"/>
    <w:rsid w:val="004743E7"/>
    <w:rsid w:val="004840D8"/>
    <w:rsid w:val="004926A2"/>
    <w:rsid w:val="004A30A1"/>
    <w:rsid w:val="004A76C0"/>
    <w:rsid w:val="004B1CBE"/>
    <w:rsid w:val="004C217B"/>
    <w:rsid w:val="004C74D7"/>
    <w:rsid w:val="004D2FDF"/>
    <w:rsid w:val="004E630B"/>
    <w:rsid w:val="00520028"/>
    <w:rsid w:val="0053211C"/>
    <w:rsid w:val="005612FC"/>
    <w:rsid w:val="005639CC"/>
    <w:rsid w:val="00567CDD"/>
    <w:rsid w:val="00574EE3"/>
    <w:rsid w:val="00585D10"/>
    <w:rsid w:val="005C2B1E"/>
    <w:rsid w:val="005C76A4"/>
    <w:rsid w:val="005D692C"/>
    <w:rsid w:val="006022E2"/>
    <w:rsid w:val="006036D0"/>
    <w:rsid w:val="00613380"/>
    <w:rsid w:val="00630118"/>
    <w:rsid w:val="006379B5"/>
    <w:rsid w:val="0064076F"/>
    <w:rsid w:val="00644171"/>
    <w:rsid w:val="006452C4"/>
    <w:rsid w:val="00646EC1"/>
    <w:rsid w:val="006808F3"/>
    <w:rsid w:val="006837C3"/>
    <w:rsid w:val="00687FF4"/>
    <w:rsid w:val="006A2652"/>
    <w:rsid w:val="006A4E7B"/>
    <w:rsid w:val="006A5183"/>
    <w:rsid w:val="006A76C4"/>
    <w:rsid w:val="006C0460"/>
    <w:rsid w:val="006C248E"/>
    <w:rsid w:val="006D37B8"/>
    <w:rsid w:val="006D3C84"/>
    <w:rsid w:val="006E4FBE"/>
    <w:rsid w:val="00701B06"/>
    <w:rsid w:val="0070490E"/>
    <w:rsid w:val="00711A9C"/>
    <w:rsid w:val="00723778"/>
    <w:rsid w:val="00750F28"/>
    <w:rsid w:val="00771AA9"/>
    <w:rsid w:val="00772D01"/>
    <w:rsid w:val="00777FC9"/>
    <w:rsid w:val="00781B04"/>
    <w:rsid w:val="00782D1B"/>
    <w:rsid w:val="00785945"/>
    <w:rsid w:val="00792002"/>
    <w:rsid w:val="007A227B"/>
    <w:rsid w:val="007B0F8C"/>
    <w:rsid w:val="007B2491"/>
    <w:rsid w:val="007B46A7"/>
    <w:rsid w:val="007C4EA7"/>
    <w:rsid w:val="007D24BA"/>
    <w:rsid w:val="007E39C9"/>
    <w:rsid w:val="007E6FC2"/>
    <w:rsid w:val="007F7150"/>
    <w:rsid w:val="00810DD2"/>
    <w:rsid w:val="008142B6"/>
    <w:rsid w:val="0083312D"/>
    <w:rsid w:val="00870BEF"/>
    <w:rsid w:val="008842B2"/>
    <w:rsid w:val="008846EE"/>
    <w:rsid w:val="00885CEA"/>
    <w:rsid w:val="00886516"/>
    <w:rsid w:val="00886B98"/>
    <w:rsid w:val="008950DD"/>
    <w:rsid w:val="008A581F"/>
    <w:rsid w:val="008B03D4"/>
    <w:rsid w:val="008C14EF"/>
    <w:rsid w:val="008C437F"/>
    <w:rsid w:val="008C4949"/>
    <w:rsid w:val="008D0831"/>
    <w:rsid w:val="008D56AD"/>
    <w:rsid w:val="008E39DF"/>
    <w:rsid w:val="008E7413"/>
    <w:rsid w:val="008F0A53"/>
    <w:rsid w:val="008F61F2"/>
    <w:rsid w:val="008F76BA"/>
    <w:rsid w:val="00900F1B"/>
    <w:rsid w:val="0090239E"/>
    <w:rsid w:val="009273B3"/>
    <w:rsid w:val="00936F44"/>
    <w:rsid w:val="00936F67"/>
    <w:rsid w:val="00940621"/>
    <w:rsid w:val="009452C8"/>
    <w:rsid w:val="00950854"/>
    <w:rsid w:val="00951040"/>
    <w:rsid w:val="009678D4"/>
    <w:rsid w:val="00974CD7"/>
    <w:rsid w:val="009827FF"/>
    <w:rsid w:val="009866BB"/>
    <w:rsid w:val="009A460B"/>
    <w:rsid w:val="009A619F"/>
    <w:rsid w:val="009B0738"/>
    <w:rsid w:val="009B60A2"/>
    <w:rsid w:val="009C4284"/>
    <w:rsid w:val="009C7CDF"/>
    <w:rsid w:val="009E0692"/>
    <w:rsid w:val="009E2769"/>
    <w:rsid w:val="009E6FE7"/>
    <w:rsid w:val="009F71BF"/>
    <w:rsid w:val="009F7BF6"/>
    <w:rsid w:val="00A41EEA"/>
    <w:rsid w:val="00A45C4F"/>
    <w:rsid w:val="00A47387"/>
    <w:rsid w:val="00A50BD2"/>
    <w:rsid w:val="00A50C2D"/>
    <w:rsid w:val="00A52453"/>
    <w:rsid w:val="00A54B28"/>
    <w:rsid w:val="00A734E5"/>
    <w:rsid w:val="00A87021"/>
    <w:rsid w:val="00A937E4"/>
    <w:rsid w:val="00AB5151"/>
    <w:rsid w:val="00AC14BB"/>
    <w:rsid w:val="00AC35FA"/>
    <w:rsid w:val="00AD27F3"/>
    <w:rsid w:val="00B029FF"/>
    <w:rsid w:val="00B072C6"/>
    <w:rsid w:val="00B07BA4"/>
    <w:rsid w:val="00B14809"/>
    <w:rsid w:val="00B16E34"/>
    <w:rsid w:val="00B24736"/>
    <w:rsid w:val="00B24753"/>
    <w:rsid w:val="00B50380"/>
    <w:rsid w:val="00B51D3E"/>
    <w:rsid w:val="00B67F26"/>
    <w:rsid w:val="00B811BA"/>
    <w:rsid w:val="00BA5BEA"/>
    <w:rsid w:val="00BB2FCF"/>
    <w:rsid w:val="00BB6752"/>
    <w:rsid w:val="00BD1F43"/>
    <w:rsid w:val="00BF17F4"/>
    <w:rsid w:val="00C047AD"/>
    <w:rsid w:val="00C06869"/>
    <w:rsid w:val="00C10BD5"/>
    <w:rsid w:val="00C1782C"/>
    <w:rsid w:val="00C41FA3"/>
    <w:rsid w:val="00C51093"/>
    <w:rsid w:val="00C64E68"/>
    <w:rsid w:val="00C74A39"/>
    <w:rsid w:val="00C8471F"/>
    <w:rsid w:val="00C9010C"/>
    <w:rsid w:val="00C963F7"/>
    <w:rsid w:val="00CA47A1"/>
    <w:rsid w:val="00CB661A"/>
    <w:rsid w:val="00CC56A9"/>
    <w:rsid w:val="00CD485A"/>
    <w:rsid w:val="00CD7E98"/>
    <w:rsid w:val="00D038A6"/>
    <w:rsid w:val="00D0536A"/>
    <w:rsid w:val="00D1234F"/>
    <w:rsid w:val="00D30FEF"/>
    <w:rsid w:val="00D546CD"/>
    <w:rsid w:val="00D55014"/>
    <w:rsid w:val="00D55BFA"/>
    <w:rsid w:val="00D70FA1"/>
    <w:rsid w:val="00D71F18"/>
    <w:rsid w:val="00D868B8"/>
    <w:rsid w:val="00D86B30"/>
    <w:rsid w:val="00D9627F"/>
    <w:rsid w:val="00DB2F59"/>
    <w:rsid w:val="00DD41E8"/>
    <w:rsid w:val="00DE045B"/>
    <w:rsid w:val="00DE28BC"/>
    <w:rsid w:val="00DE775A"/>
    <w:rsid w:val="00DF2123"/>
    <w:rsid w:val="00DF5752"/>
    <w:rsid w:val="00E11BF9"/>
    <w:rsid w:val="00E123D4"/>
    <w:rsid w:val="00E13651"/>
    <w:rsid w:val="00E15FB6"/>
    <w:rsid w:val="00E2256F"/>
    <w:rsid w:val="00E465D6"/>
    <w:rsid w:val="00E5640A"/>
    <w:rsid w:val="00E60287"/>
    <w:rsid w:val="00E67C29"/>
    <w:rsid w:val="00E83E2C"/>
    <w:rsid w:val="00EA58FD"/>
    <w:rsid w:val="00EB1232"/>
    <w:rsid w:val="00EC4302"/>
    <w:rsid w:val="00EC43B2"/>
    <w:rsid w:val="00ED138C"/>
    <w:rsid w:val="00ED563F"/>
    <w:rsid w:val="00ED5B8C"/>
    <w:rsid w:val="00EE3868"/>
    <w:rsid w:val="00EE5116"/>
    <w:rsid w:val="00EE730C"/>
    <w:rsid w:val="00F10489"/>
    <w:rsid w:val="00F4236C"/>
    <w:rsid w:val="00F60792"/>
    <w:rsid w:val="00F70C8E"/>
    <w:rsid w:val="00F919A4"/>
    <w:rsid w:val="00F94253"/>
    <w:rsid w:val="00FB26EF"/>
    <w:rsid w:val="00FC18FA"/>
    <w:rsid w:val="00FC1EC3"/>
    <w:rsid w:val="00FD3D03"/>
    <w:rsid w:val="00FD64F8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1E6A2A45-330F-4889-A26C-D098B44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E4"/>
  </w:style>
  <w:style w:type="paragraph" w:styleId="Heading1">
    <w:name w:val="heading 1"/>
    <w:basedOn w:val="Normal"/>
    <w:next w:val="Normal"/>
    <w:link w:val="Heading1Char"/>
    <w:uiPriority w:val="9"/>
    <w:qFormat/>
    <w:rsid w:val="009678D4"/>
    <w:pPr>
      <w:spacing w:afterLines="100" w:after="240" w:line="240" w:lineRule="auto"/>
      <w:jc w:val="both"/>
      <w:outlineLvl w:val="0"/>
    </w:pPr>
    <w:rPr>
      <w:rFonts w:ascii="Gadugi" w:hAnsi="Gadug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78D4"/>
    <w:rPr>
      <w:rFonts w:ascii="Gadugi" w:hAnsi="Gadug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-rtefontsize-2">
    <w:name w:val="ms-rtefontsize-2"/>
    <w:basedOn w:val="DefaultParagraphFont"/>
    <w:rsid w:val="00470FFC"/>
  </w:style>
  <w:style w:type="character" w:styleId="Strong">
    <w:name w:val="Strong"/>
    <w:basedOn w:val="DefaultParagraphFont"/>
    <w:uiPriority w:val="22"/>
    <w:qFormat/>
    <w:rsid w:val="008A5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n-us/education/default.aspx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itslearning.eu/fronter-suppor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ntentsupport@lgfl.org.u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iscoveryeducation.co.uk/what-we-offer/discovery-education-espresso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ust2easy.com/contact-us/" TargetMode="External"/><Relationship Id="rId20" Type="http://schemas.openxmlformats.org/officeDocument/2006/relationships/hyperlink" Target="https://mathspace.co/lgf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://www.2simple.com/contact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http://discoveryeducation.co.uk/what-we-offer/discovery-education-secondary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f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Raaa</dc:creator>
  <cp:lastModifiedBy>Mark Bentley</cp:lastModifiedBy>
  <cp:revision>3</cp:revision>
  <cp:lastPrinted>2015-10-22T08:14:00Z</cp:lastPrinted>
  <dcterms:created xsi:type="dcterms:W3CDTF">2016-02-17T09:52:00Z</dcterms:created>
  <dcterms:modified xsi:type="dcterms:W3CDTF">2016-02-17T10:13:00Z</dcterms:modified>
</cp:coreProperties>
</file>