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C703" w14:textId="7B1F9454" w:rsidR="003477D2" w:rsidRPr="003477D2" w:rsidRDefault="003477D2" w:rsidP="003477D2">
      <w:pPr>
        <w:pStyle w:val="MarginText"/>
        <w:spacing w:after="0"/>
        <w:jc w:val="center"/>
        <w:rPr>
          <w:rFonts w:ascii="Arial" w:hAnsi="Arial" w:cs="Arial"/>
          <w:b/>
          <w:bCs/>
          <w:sz w:val="20"/>
        </w:rPr>
      </w:pPr>
      <w:r w:rsidRPr="003477D2">
        <w:rPr>
          <w:rFonts w:ascii="Arial" w:hAnsi="Arial" w:cs="Arial"/>
          <w:b/>
          <w:bCs/>
          <w:sz w:val="20"/>
        </w:rPr>
        <w:t>MOBILE DEVICE SUPPLY AGREEMENT</w:t>
      </w:r>
    </w:p>
    <w:p w14:paraId="0D57DEA4" w14:textId="1BC711E4" w:rsidR="003477D2" w:rsidRPr="008C26D0" w:rsidRDefault="00EF1760" w:rsidP="00CF7057">
      <w:pPr>
        <w:spacing w:after="120"/>
        <w:rPr>
          <w:sz w:val="15"/>
          <w:szCs w:val="15"/>
        </w:rPr>
      </w:pPr>
      <w:r w:rsidRPr="008C26D0">
        <w:rPr>
          <w:sz w:val="15"/>
          <w:szCs w:val="15"/>
        </w:rPr>
        <w:t>This Agreement is made between London Grid for Learning Trust, a company registered in England and Wales with company number 4205579, whose registered office is at 10 Exchange Square, Primrose Street, London EC2A 2BR (</w:t>
      </w:r>
      <w:r w:rsidRPr="00CF7057">
        <w:rPr>
          <w:b/>
          <w:bCs/>
          <w:sz w:val="15"/>
          <w:szCs w:val="15"/>
        </w:rPr>
        <w:t>"LGfL"</w:t>
      </w:r>
      <w:r w:rsidRPr="008C26D0">
        <w:rPr>
          <w:sz w:val="15"/>
          <w:szCs w:val="15"/>
        </w:rPr>
        <w:t>) and the Customer identified in the Order Form.</w:t>
      </w:r>
    </w:p>
    <w:p w14:paraId="1082E600" w14:textId="20E3553A" w:rsidR="00EF1760" w:rsidRDefault="00EF1760" w:rsidP="008C26D0">
      <w:pPr>
        <w:rPr>
          <w:sz w:val="15"/>
          <w:szCs w:val="15"/>
        </w:rPr>
      </w:pPr>
      <w:r w:rsidRPr="008C26D0">
        <w:rPr>
          <w:sz w:val="15"/>
          <w:szCs w:val="15"/>
        </w:rPr>
        <w:t>This Agreement comes into effect when the Order is acknowledged and accepted by LGfL.</w:t>
      </w:r>
    </w:p>
    <w:p w14:paraId="3C587FAD" w14:textId="77777777" w:rsidR="00580495" w:rsidRDefault="00580495" w:rsidP="008C26D0">
      <w:pPr>
        <w:rPr>
          <w:sz w:val="15"/>
          <w:szCs w:val="15"/>
        </w:rPr>
      </w:pPr>
    </w:p>
    <w:p w14:paraId="38E38FE9" w14:textId="5CBF9232" w:rsidR="003477D2" w:rsidRDefault="003477D2" w:rsidP="008C26D0">
      <w:pPr>
        <w:rPr>
          <w:sz w:val="15"/>
          <w:szCs w:val="15"/>
        </w:rPr>
        <w:sectPr w:rsidR="003477D2" w:rsidSect="00580495">
          <w:headerReference w:type="default" r:id="rId8"/>
          <w:footerReference w:type="default" r:id="rId9"/>
          <w:pgSz w:w="11906" w:h="16838"/>
          <w:pgMar w:top="1916" w:right="1440" w:bottom="1072" w:left="1440" w:header="708" w:footer="708" w:gutter="0"/>
          <w:cols w:space="708"/>
          <w:docGrid w:linePitch="360"/>
        </w:sectPr>
      </w:pPr>
    </w:p>
    <w:p w14:paraId="06D003A2" w14:textId="77777777" w:rsidR="00312F30" w:rsidRPr="00715DD4" w:rsidRDefault="00312F30" w:rsidP="00427EAE">
      <w:pPr>
        <w:pStyle w:val="Heading1"/>
      </w:pPr>
      <w:r w:rsidRPr="00715DD4">
        <w:t>Definitions and Interpretation</w:t>
      </w:r>
    </w:p>
    <w:p w14:paraId="59B163FD" w14:textId="15396CFA" w:rsidR="00FD5031" w:rsidRPr="00715DD4" w:rsidRDefault="00FD5031" w:rsidP="00814590">
      <w:pPr>
        <w:pStyle w:val="Heading2"/>
        <w:widowControl w:val="0"/>
      </w:pPr>
      <w:r w:rsidRPr="00715DD4">
        <w:t xml:space="preserve">Capitalised terms in this </w:t>
      </w:r>
      <w:r w:rsidR="00EB3C7F">
        <w:t>Agreement</w:t>
      </w:r>
      <w:r w:rsidRPr="00715DD4">
        <w:t xml:space="preserve"> have the following meanings</w:t>
      </w:r>
      <w:r w:rsidRPr="00715DD4">
        <w:rPr>
          <w:b/>
        </w:rPr>
        <w:t>:</w:t>
      </w:r>
    </w:p>
    <w:p w14:paraId="3656FB3A" w14:textId="5F9F906F" w:rsidR="00392EA9" w:rsidRDefault="00392EA9" w:rsidP="00FD5031">
      <w:pPr>
        <w:pStyle w:val="Heading2"/>
        <w:widowControl w:val="0"/>
        <w:numPr>
          <w:ilvl w:val="0"/>
          <w:numId w:val="0"/>
        </w:numPr>
        <w:ind w:left="360"/>
        <w:rPr>
          <w:b/>
          <w:bCs/>
        </w:rPr>
      </w:pPr>
      <w:r>
        <w:rPr>
          <w:b/>
        </w:rPr>
        <w:t>"</w:t>
      </w:r>
      <w:hyperlink r:id="rId10" w:history="1">
        <w:r w:rsidRPr="00974527">
          <w:rPr>
            <w:rStyle w:val="Hyperlink"/>
            <w:b/>
          </w:rPr>
          <w:t>Acceptable Use Policy</w:t>
        </w:r>
      </w:hyperlink>
      <w:r>
        <w:rPr>
          <w:b/>
        </w:rPr>
        <w:t>"</w:t>
      </w:r>
      <w:r>
        <w:t xml:space="preserve"> means LGfL’s policy for acceptable use of </w:t>
      </w:r>
      <w:r w:rsidR="005D1E7C">
        <w:t>its materials</w:t>
      </w:r>
      <w:r w:rsidR="002C7A96">
        <w:t>, including S</w:t>
      </w:r>
      <w:r w:rsidR="00AC4099">
        <w:t>oftware</w:t>
      </w:r>
      <w:r w:rsidR="005D1E7C">
        <w:t>, which</w:t>
      </w:r>
      <w:r>
        <w:t xml:space="preserve"> is available at its website</w:t>
      </w:r>
      <w:r w:rsidR="0094744A">
        <w:rPr>
          <w:b/>
          <w:bCs/>
        </w:rPr>
        <w:t>;</w:t>
      </w:r>
    </w:p>
    <w:p w14:paraId="1AC0B120" w14:textId="5726814B" w:rsidR="00312F30" w:rsidRPr="00715DD4" w:rsidRDefault="00312F30" w:rsidP="00FD5031">
      <w:pPr>
        <w:pStyle w:val="Heading2"/>
        <w:widowControl w:val="0"/>
        <w:numPr>
          <w:ilvl w:val="0"/>
          <w:numId w:val="0"/>
        </w:numPr>
        <w:ind w:left="360"/>
      </w:pPr>
      <w:r w:rsidRPr="00715DD4">
        <w:rPr>
          <w:b/>
          <w:bCs/>
        </w:rPr>
        <w:t xml:space="preserve">"Agreement" </w:t>
      </w:r>
      <w:r w:rsidRPr="00715DD4">
        <w:t xml:space="preserve">means this document entitled </w:t>
      </w:r>
      <w:r w:rsidR="0088178E" w:rsidRPr="00715DD4">
        <w:rPr>
          <w:bCs/>
        </w:rPr>
        <w:t>"</w:t>
      </w:r>
      <w:r w:rsidR="00E97A4E">
        <w:rPr>
          <w:bCs/>
        </w:rPr>
        <w:t xml:space="preserve">Mobile Device </w:t>
      </w:r>
      <w:r w:rsidR="00B64577">
        <w:rPr>
          <w:iCs/>
        </w:rPr>
        <w:t>Supply</w:t>
      </w:r>
      <w:r w:rsidRPr="00715DD4">
        <w:rPr>
          <w:iCs/>
        </w:rPr>
        <w:t xml:space="preserve"> Agreement</w:t>
      </w:r>
      <w:r w:rsidR="0088178E" w:rsidRPr="00715DD4">
        <w:rPr>
          <w:bCs/>
        </w:rPr>
        <w:t>"</w:t>
      </w:r>
      <w:r w:rsidR="00E97A4E">
        <w:rPr>
          <w:iCs/>
        </w:rPr>
        <w:t xml:space="preserve"> and</w:t>
      </w:r>
      <w:r w:rsidR="00AF33A0" w:rsidRPr="00715DD4">
        <w:t xml:space="preserve"> </w:t>
      </w:r>
      <w:r w:rsidR="00A46495" w:rsidRPr="00715DD4">
        <w:t xml:space="preserve">the </w:t>
      </w:r>
      <w:r w:rsidR="00B64577">
        <w:t>Order Form</w:t>
      </w:r>
      <w:r w:rsidR="00111D20" w:rsidRPr="00715DD4">
        <w:t>;</w:t>
      </w:r>
    </w:p>
    <w:p w14:paraId="6D57D397" w14:textId="5CE1BDDB" w:rsidR="00A46495" w:rsidRPr="00715DD4" w:rsidRDefault="00A46495" w:rsidP="00FD5031">
      <w:pPr>
        <w:pStyle w:val="Heading2"/>
        <w:widowControl w:val="0"/>
        <w:numPr>
          <w:ilvl w:val="0"/>
          <w:numId w:val="0"/>
        </w:numPr>
        <w:ind w:left="360"/>
      </w:pPr>
      <w:r w:rsidRPr="00715DD4">
        <w:rPr>
          <w:b/>
          <w:bCs/>
        </w:rPr>
        <w:t>"Appl</w:t>
      </w:r>
      <w:r w:rsidR="001B091B" w:rsidRPr="00715DD4">
        <w:rPr>
          <w:b/>
          <w:bCs/>
        </w:rPr>
        <w:t>i</w:t>
      </w:r>
      <w:r w:rsidRPr="00715DD4">
        <w:rPr>
          <w:b/>
          <w:bCs/>
        </w:rPr>
        <w:t xml:space="preserve">cable Law" </w:t>
      </w:r>
      <w:r w:rsidRPr="00715DD4">
        <w:rPr>
          <w:bCs/>
        </w:rPr>
        <w:t>means</w:t>
      </w:r>
      <w:r w:rsidR="00D206EC" w:rsidRPr="00715DD4">
        <w:rPr>
          <w:bCs/>
        </w:rPr>
        <w:t xml:space="preserve"> any law, subordinate legislation, enforceable right, regulation, order, regulatory policy, mandatory guidance or code of practice, judgment</w:t>
      </w:r>
      <w:r w:rsidR="009E31BE" w:rsidRPr="00715DD4">
        <w:rPr>
          <w:bCs/>
        </w:rPr>
        <w:t>,</w:t>
      </w:r>
      <w:r w:rsidR="00D206EC" w:rsidRPr="00715DD4">
        <w:rPr>
          <w:bCs/>
        </w:rPr>
        <w:t xml:space="preserve"> or directives or requirements with which a party is bound to comply</w:t>
      </w:r>
      <w:r w:rsidR="00111D20" w:rsidRPr="00715DD4">
        <w:rPr>
          <w:bCs/>
        </w:rPr>
        <w:t>;</w:t>
      </w:r>
    </w:p>
    <w:p w14:paraId="4B9B9C20" w14:textId="5F1C3EE8" w:rsidR="002C792B" w:rsidRPr="00715DD4" w:rsidRDefault="002C792B" w:rsidP="00FD5031">
      <w:pPr>
        <w:pStyle w:val="Heading2"/>
        <w:widowControl w:val="0"/>
        <w:numPr>
          <w:ilvl w:val="0"/>
          <w:numId w:val="0"/>
        </w:numPr>
        <w:ind w:left="360"/>
      </w:pPr>
      <w:r w:rsidRPr="00715DD4">
        <w:rPr>
          <w:b/>
        </w:rPr>
        <w:t xml:space="preserve">"Commercially Sensitive Information" </w:t>
      </w:r>
      <w:r w:rsidRPr="00715DD4">
        <w:t xml:space="preserve">means the </w:t>
      </w:r>
      <w:r w:rsidR="0097430E">
        <w:t>Price</w:t>
      </w:r>
      <w:r w:rsidRPr="00715DD4">
        <w:t xml:space="preserve"> and </w:t>
      </w:r>
      <w:r w:rsidR="005259FC" w:rsidRPr="00715DD4">
        <w:t>any</w:t>
      </w:r>
      <w:r w:rsidRPr="00715DD4">
        <w:t xml:space="preserve"> means for calculating the </w:t>
      </w:r>
      <w:r w:rsidR="0097430E">
        <w:t>Price</w:t>
      </w:r>
      <w:r w:rsidRPr="00715DD4">
        <w:t xml:space="preserve">, which shall </w:t>
      </w:r>
      <w:r w:rsidR="00F811F1" w:rsidRPr="00715DD4">
        <w:t>remain</w:t>
      </w:r>
      <w:r w:rsidRPr="00715DD4">
        <w:t xml:space="preserve"> confidential for a period of three years following the </w:t>
      </w:r>
      <w:r w:rsidR="005F2C78" w:rsidRPr="00715DD4">
        <w:t>termination or expiry of this Agreement</w:t>
      </w:r>
      <w:r w:rsidRPr="00715DD4">
        <w:t>;</w:t>
      </w:r>
    </w:p>
    <w:p w14:paraId="2BC15A9B" w14:textId="20BFD235" w:rsidR="009407E3" w:rsidRPr="00715DD4" w:rsidRDefault="00312F30" w:rsidP="00FD5031">
      <w:pPr>
        <w:pStyle w:val="Heading2"/>
        <w:widowControl w:val="0"/>
        <w:numPr>
          <w:ilvl w:val="0"/>
          <w:numId w:val="0"/>
        </w:numPr>
        <w:ind w:left="360"/>
        <w:rPr>
          <w:b/>
        </w:rPr>
      </w:pPr>
      <w:r w:rsidRPr="00715DD4">
        <w:rPr>
          <w:b/>
          <w:bCs/>
        </w:rPr>
        <w:t>"Confidential Information"</w:t>
      </w:r>
      <w:r w:rsidRPr="00715DD4">
        <w:t xml:space="preserve"> means any </w:t>
      </w:r>
      <w:r w:rsidR="00D13145" w:rsidRPr="00715DD4">
        <w:t xml:space="preserve">confidential or proprietary information </w:t>
      </w:r>
      <w:r w:rsidRPr="00715DD4">
        <w:t xml:space="preserve">of </w:t>
      </w:r>
      <w:r w:rsidR="00297415" w:rsidRPr="00715DD4">
        <w:t>either party</w:t>
      </w:r>
      <w:r w:rsidRPr="00715DD4">
        <w:t>, including this Agreement</w:t>
      </w:r>
      <w:r w:rsidR="00CC35CB">
        <w:t xml:space="preserve"> and the Price</w:t>
      </w:r>
      <w:r w:rsidR="00297415" w:rsidRPr="00715DD4">
        <w:t>,</w:t>
      </w:r>
      <w:r w:rsidRPr="00715DD4">
        <w:t xml:space="preserve"> but excluding any information</w:t>
      </w:r>
      <w:r w:rsidR="00734CDC" w:rsidRPr="00715DD4">
        <w:t xml:space="preserve"> that</w:t>
      </w:r>
      <w:r w:rsidRPr="00715DD4">
        <w:t>: (a) is publicly known or becomes publicly known other than by a breach of this Agreement; (b) when it was disclosed to the other party, was already known by that party; or (c) after being disclosed to the other party, is disclosed to that party again by a third party at liberty to disclose it</w:t>
      </w:r>
      <w:r w:rsidR="00297415" w:rsidRPr="00715DD4">
        <w:t>;</w:t>
      </w:r>
    </w:p>
    <w:p w14:paraId="062D8859" w14:textId="009CE1E8" w:rsidR="00307D10" w:rsidRPr="00715DD4" w:rsidRDefault="00520FB7" w:rsidP="00307D10">
      <w:pPr>
        <w:pStyle w:val="Heading2"/>
        <w:widowControl w:val="0"/>
        <w:numPr>
          <w:ilvl w:val="0"/>
          <w:numId w:val="0"/>
        </w:numPr>
        <w:ind w:left="360"/>
      </w:pPr>
      <w:r w:rsidRPr="00715DD4">
        <w:rPr>
          <w:b/>
        </w:rPr>
        <w:t xml:space="preserve">"Controller", "Processor", </w:t>
      </w:r>
      <w:r w:rsidR="00E428A6" w:rsidRPr="00715DD4">
        <w:rPr>
          <w:b/>
        </w:rPr>
        <w:t>"</w:t>
      </w:r>
      <w:r w:rsidR="00E428A6">
        <w:rPr>
          <w:b/>
        </w:rPr>
        <w:t>p</w:t>
      </w:r>
      <w:r w:rsidR="00E428A6" w:rsidRPr="00715DD4">
        <w:rPr>
          <w:b/>
        </w:rPr>
        <w:t>rocess</w:t>
      </w:r>
      <w:r w:rsidR="00E428A6">
        <w:rPr>
          <w:b/>
        </w:rPr>
        <w:t>ing</w:t>
      </w:r>
      <w:r w:rsidR="00E428A6" w:rsidRPr="00715DD4">
        <w:rPr>
          <w:b/>
        </w:rPr>
        <w:t xml:space="preserve">", </w:t>
      </w:r>
      <w:r w:rsidRPr="00715DD4">
        <w:rPr>
          <w:b/>
        </w:rPr>
        <w:t>"Data Subject", "Personal Data"</w:t>
      </w:r>
      <w:r w:rsidR="00B83F44">
        <w:rPr>
          <w:b/>
        </w:rPr>
        <w:t>,</w:t>
      </w:r>
      <w:r w:rsidRPr="00715DD4">
        <w:rPr>
          <w:b/>
        </w:rPr>
        <w:t xml:space="preserve"> </w:t>
      </w:r>
      <w:r w:rsidRPr="00715DD4">
        <w:t>and</w:t>
      </w:r>
      <w:r w:rsidRPr="00715DD4">
        <w:rPr>
          <w:b/>
        </w:rPr>
        <w:t xml:space="preserve"> "Personal Data Breach" </w:t>
      </w:r>
      <w:r w:rsidR="00297415" w:rsidRPr="00715DD4">
        <w:t>each</w:t>
      </w:r>
      <w:r w:rsidRPr="00715DD4">
        <w:t xml:space="preserve"> </w:t>
      </w:r>
      <w:r w:rsidR="00297415" w:rsidRPr="00715DD4">
        <w:t>has</w:t>
      </w:r>
      <w:r w:rsidRPr="00715DD4">
        <w:t xml:space="preserve"> the meaning given in the GDPR</w:t>
      </w:r>
      <w:r w:rsidR="00297415" w:rsidRPr="00715DD4">
        <w:t>;</w:t>
      </w:r>
    </w:p>
    <w:p w14:paraId="4FCE29B5" w14:textId="51BFB7C8" w:rsidR="00520FB7" w:rsidRDefault="00520FB7" w:rsidP="00FD5031">
      <w:pPr>
        <w:pStyle w:val="Heading2"/>
        <w:widowControl w:val="0"/>
        <w:numPr>
          <w:ilvl w:val="0"/>
          <w:numId w:val="0"/>
        </w:numPr>
        <w:ind w:left="360"/>
      </w:pPr>
      <w:r w:rsidRPr="00715DD4">
        <w:rPr>
          <w:b/>
        </w:rPr>
        <w:t>"Data Protection Legislation"</w:t>
      </w:r>
      <w:r w:rsidRPr="00715DD4">
        <w:t xml:space="preserve"> means (a) the GDPR</w:t>
      </w:r>
      <w:r w:rsidR="004C26BE" w:rsidRPr="00715DD4">
        <w:t>; (b)</w:t>
      </w:r>
      <w:r w:rsidRPr="00715DD4">
        <w:t xml:space="preserve"> the </w:t>
      </w:r>
      <w:r w:rsidRPr="00715DD4">
        <w:rPr>
          <w:color w:val="000000"/>
          <w:szCs w:val="22"/>
        </w:rPr>
        <w:t xml:space="preserve">Law Enforcement Directive </w:t>
      </w:r>
      <w:r w:rsidRPr="00715DD4">
        <w:rPr>
          <w:i/>
          <w:iCs/>
          <w:color w:val="000000"/>
          <w:szCs w:val="22"/>
        </w:rPr>
        <w:t>(Directive (EU) 2016/680)</w:t>
      </w:r>
      <w:r w:rsidRPr="00715DD4">
        <w:t>; (</w:t>
      </w:r>
      <w:r w:rsidR="004C26BE" w:rsidRPr="00715DD4">
        <w:t>c</w:t>
      </w:r>
      <w:r w:rsidRPr="00715DD4">
        <w:t>) the Data Protection Act 2018 to the extent that it relates to processing of personal data and privacy; and (</w:t>
      </w:r>
      <w:r w:rsidR="004C26BE" w:rsidRPr="00715DD4">
        <w:t>d</w:t>
      </w:r>
      <w:r w:rsidRPr="00715DD4">
        <w:t xml:space="preserve">) all </w:t>
      </w:r>
      <w:r w:rsidR="00BC343E" w:rsidRPr="00715DD4">
        <w:t>A</w:t>
      </w:r>
      <w:r w:rsidRPr="00715DD4">
        <w:t>pplicable Law relating to the processing of personal data and privacy</w:t>
      </w:r>
      <w:r w:rsidR="002A361F" w:rsidRPr="00715DD4">
        <w:t>;</w:t>
      </w:r>
    </w:p>
    <w:p w14:paraId="42FA6758" w14:textId="6631599F" w:rsidR="00E2348E" w:rsidRPr="00E2348E" w:rsidRDefault="00E2348E" w:rsidP="00E2348E">
      <w:pPr>
        <w:pStyle w:val="Heading2"/>
        <w:widowControl w:val="0"/>
        <w:numPr>
          <w:ilvl w:val="0"/>
          <w:numId w:val="0"/>
        </w:numPr>
        <w:ind w:left="360"/>
        <w:rPr>
          <w:bCs/>
        </w:rPr>
      </w:pPr>
      <w:r w:rsidRPr="00715DD4">
        <w:rPr>
          <w:b/>
        </w:rPr>
        <w:t>"</w:t>
      </w:r>
      <w:r>
        <w:rPr>
          <w:b/>
        </w:rPr>
        <w:t>End User</w:t>
      </w:r>
      <w:r w:rsidRPr="00715DD4">
        <w:rPr>
          <w:b/>
        </w:rPr>
        <w:t>"</w:t>
      </w:r>
      <w:r>
        <w:rPr>
          <w:bCs/>
        </w:rPr>
        <w:t xml:space="preserve"> means any </w:t>
      </w:r>
      <w:r>
        <w:t>directors, officers, employees or student enrolled with the Customer;</w:t>
      </w:r>
    </w:p>
    <w:p w14:paraId="60C0EB81" w14:textId="1BEA7DE6" w:rsidR="00092496" w:rsidRPr="00715DD4" w:rsidRDefault="00520FB7" w:rsidP="00FD5031">
      <w:pPr>
        <w:pStyle w:val="Heading2"/>
        <w:widowControl w:val="0"/>
        <w:numPr>
          <w:ilvl w:val="0"/>
          <w:numId w:val="0"/>
        </w:numPr>
        <w:ind w:left="360"/>
      </w:pPr>
      <w:r w:rsidRPr="00715DD4">
        <w:rPr>
          <w:b/>
        </w:rPr>
        <w:t>"GDPR"</w:t>
      </w:r>
      <w:r w:rsidRPr="00715DD4">
        <w:t xml:space="preserve"> means the </w:t>
      </w:r>
      <w:r w:rsidRPr="00715DD4">
        <w:rPr>
          <w:color w:val="000000"/>
          <w:szCs w:val="22"/>
        </w:rPr>
        <w:t xml:space="preserve">General Data Protection Regulation </w:t>
      </w:r>
      <w:r w:rsidRPr="00715DD4">
        <w:rPr>
          <w:i/>
          <w:iCs/>
          <w:color w:val="000000"/>
          <w:szCs w:val="22"/>
        </w:rPr>
        <w:t>(Regulation (EU) 2016/679)</w:t>
      </w:r>
      <w:r w:rsidR="00F852DC" w:rsidRPr="00715DD4">
        <w:rPr>
          <w:iCs/>
          <w:color w:val="000000"/>
          <w:szCs w:val="22"/>
        </w:rPr>
        <w:t>;</w:t>
      </w:r>
    </w:p>
    <w:p w14:paraId="6DC5A6C2" w14:textId="67E6DD57" w:rsidR="00041E73" w:rsidRPr="00715DD4" w:rsidRDefault="00041E73" w:rsidP="00FD5031">
      <w:pPr>
        <w:pStyle w:val="Heading2"/>
        <w:widowControl w:val="0"/>
        <w:numPr>
          <w:ilvl w:val="0"/>
          <w:numId w:val="0"/>
        </w:numPr>
        <w:ind w:left="360"/>
      </w:pPr>
      <w:r w:rsidRPr="00715DD4">
        <w:rPr>
          <w:b/>
        </w:rPr>
        <w:t>"Insolvency Event"</w:t>
      </w:r>
      <w:r w:rsidRPr="00715DD4">
        <w:t xml:space="preserve"> means a resolution is passed or an order is made for the winding up of a party (save for a bona fide reconstruction or amalgamation) or the party becomes subject to an administration order, or a receiver or administrative receiver is appointed over any of the party’s property or assets, or the party is insolvent or would be taken to be insolvent under section 123 of the Insolvency Act 1986 (save that the reference in that section to "£750" shall be replaced by "£10,000"), or the party is dissolved</w:t>
      </w:r>
      <w:r w:rsidR="000740EC" w:rsidRPr="00715DD4">
        <w:t>;</w:t>
      </w:r>
    </w:p>
    <w:p w14:paraId="529B3FB6" w14:textId="6A4A86A0" w:rsidR="00FE3FA1" w:rsidRDefault="00312F30" w:rsidP="00FD5031">
      <w:pPr>
        <w:pStyle w:val="Heading2"/>
        <w:widowControl w:val="0"/>
        <w:numPr>
          <w:ilvl w:val="0"/>
          <w:numId w:val="0"/>
        </w:numPr>
        <w:ind w:left="360"/>
      </w:pPr>
      <w:r w:rsidRPr="00715DD4">
        <w:rPr>
          <w:b/>
        </w:rPr>
        <w:t>"Intellectual Property Rights"</w:t>
      </w:r>
      <w:r w:rsidRPr="00715DD4">
        <w:t xml:space="preserve"> means any rights in or to any patent, copyright, database right, design right, trade mark, brand name, service mark, trade name, business name, chip topography right, know-how or confidential information and any other rights in respect of any other industrial or intellectual property, whether capable of being registered or not and including all rights to apply for any of the foregoing rights</w:t>
      </w:r>
      <w:r w:rsidR="000740EC" w:rsidRPr="00715DD4">
        <w:t>;</w:t>
      </w:r>
    </w:p>
    <w:p w14:paraId="24709EE8" w14:textId="18F1D719" w:rsidR="00090D07" w:rsidRPr="00090D07" w:rsidRDefault="00B33B73" w:rsidP="00FD5031">
      <w:pPr>
        <w:pStyle w:val="Heading2"/>
        <w:widowControl w:val="0"/>
        <w:numPr>
          <w:ilvl w:val="0"/>
          <w:numId w:val="0"/>
        </w:numPr>
        <w:ind w:left="360"/>
        <w:rPr>
          <w:bCs/>
        </w:rPr>
      </w:pPr>
      <w:r w:rsidRPr="00715DD4">
        <w:rPr>
          <w:b/>
        </w:rPr>
        <w:t>"</w:t>
      </w:r>
      <w:r w:rsidR="00090D07">
        <w:rPr>
          <w:b/>
        </w:rPr>
        <w:t>IPR Claim</w:t>
      </w:r>
      <w:r w:rsidR="00A52270" w:rsidRPr="00715DD4">
        <w:rPr>
          <w:b/>
        </w:rPr>
        <w:t xml:space="preserve">” </w:t>
      </w:r>
      <w:r w:rsidR="00A52270" w:rsidRPr="00556C7F">
        <w:rPr>
          <w:bCs/>
        </w:rPr>
        <w:t>means</w:t>
      </w:r>
      <w:r w:rsidR="00090D07">
        <w:rPr>
          <w:bCs/>
        </w:rPr>
        <w:t xml:space="preserve"> </w:t>
      </w:r>
      <w:r w:rsidR="00E660E7">
        <w:rPr>
          <w:bCs/>
        </w:rPr>
        <w:t>a</w:t>
      </w:r>
      <w:r w:rsidR="00090D07" w:rsidRPr="00090D07">
        <w:rPr>
          <w:bCs/>
        </w:rPr>
        <w:t xml:space="preserve"> claim made against the Customer for </w:t>
      </w:r>
      <w:r w:rsidR="00E660E7">
        <w:rPr>
          <w:bCs/>
        </w:rPr>
        <w:t>the</w:t>
      </w:r>
      <w:r w:rsidR="00090D07" w:rsidRPr="00090D07">
        <w:rPr>
          <w:bCs/>
        </w:rPr>
        <w:t xml:space="preserve"> infringement of a third party's Intellectual Property Rights arising </w:t>
      </w:r>
      <w:r w:rsidR="004A3401">
        <w:rPr>
          <w:bCs/>
        </w:rPr>
        <w:t>from</w:t>
      </w:r>
      <w:r w:rsidR="00090D07" w:rsidRPr="00090D07">
        <w:rPr>
          <w:bCs/>
        </w:rPr>
        <w:t xml:space="preserve"> </w:t>
      </w:r>
      <w:r w:rsidR="00090D07">
        <w:rPr>
          <w:bCs/>
        </w:rPr>
        <w:t>its</w:t>
      </w:r>
      <w:r w:rsidR="00090D07" w:rsidRPr="00090D07">
        <w:rPr>
          <w:bCs/>
        </w:rPr>
        <w:t xml:space="preserve"> use of </w:t>
      </w:r>
      <w:r>
        <w:rPr>
          <w:bCs/>
        </w:rPr>
        <w:t>Software provided by LGfL pursuant to this Agreement;</w:t>
      </w:r>
    </w:p>
    <w:p w14:paraId="2E875F9F" w14:textId="091DA570" w:rsidR="007E23A8" w:rsidRDefault="007E23A8" w:rsidP="007E23A8">
      <w:pPr>
        <w:pStyle w:val="Heading2"/>
        <w:widowControl w:val="0"/>
        <w:numPr>
          <w:ilvl w:val="0"/>
          <w:numId w:val="0"/>
        </w:numPr>
        <w:ind w:left="360"/>
      </w:pPr>
      <w:r w:rsidRPr="00715DD4">
        <w:rPr>
          <w:b/>
        </w:rPr>
        <w:t>"</w:t>
      </w:r>
      <w:r>
        <w:rPr>
          <w:b/>
        </w:rPr>
        <w:t>Mobile Devices</w:t>
      </w:r>
      <w:r w:rsidRPr="00715DD4">
        <w:rPr>
          <w:b/>
        </w:rPr>
        <w:t>"</w:t>
      </w:r>
      <w:r w:rsidRPr="00715DD4">
        <w:t xml:space="preserve"> means the </w:t>
      </w:r>
      <w:r>
        <w:t xml:space="preserve">computer </w:t>
      </w:r>
      <w:r w:rsidR="004C0AFD">
        <w:t>equipment</w:t>
      </w:r>
      <w:r w:rsidRPr="00715DD4">
        <w:t xml:space="preserve"> to be </w:t>
      </w:r>
      <w:r>
        <w:t>supplied</w:t>
      </w:r>
      <w:r w:rsidRPr="00715DD4">
        <w:t xml:space="preserve"> by or on behalf of </w:t>
      </w:r>
      <w:r>
        <w:t>LGfL</w:t>
      </w:r>
      <w:r w:rsidRPr="00715DD4">
        <w:t xml:space="preserve"> as </w:t>
      </w:r>
      <w:r>
        <w:t>identified</w:t>
      </w:r>
      <w:r w:rsidRPr="00715DD4">
        <w:t xml:space="preserve"> </w:t>
      </w:r>
      <w:r>
        <w:t>on</w:t>
      </w:r>
      <w:r w:rsidRPr="00715DD4">
        <w:t xml:space="preserve"> the Order</w:t>
      </w:r>
      <w:r>
        <w:t xml:space="preserve"> Form</w:t>
      </w:r>
      <w:r w:rsidRPr="00715DD4">
        <w:t>;</w:t>
      </w:r>
    </w:p>
    <w:p w14:paraId="35DF38DB" w14:textId="2E69912B" w:rsidR="00FD287E" w:rsidRPr="00FD287E" w:rsidRDefault="00FD287E" w:rsidP="00FD287E">
      <w:pPr>
        <w:pStyle w:val="Heading2"/>
        <w:widowControl w:val="0"/>
        <w:numPr>
          <w:ilvl w:val="0"/>
          <w:numId w:val="0"/>
        </w:numPr>
        <w:ind w:left="360"/>
        <w:rPr>
          <w:bCs/>
        </w:rPr>
      </w:pPr>
      <w:r w:rsidRPr="00715DD4">
        <w:rPr>
          <w:b/>
        </w:rPr>
        <w:t>"</w:t>
      </w:r>
      <w:r>
        <w:rPr>
          <w:b/>
        </w:rPr>
        <w:t>Order</w:t>
      </w:r>
      <w:r w:rsidRPr="00715DD4">
        <w:rPr>
          <w:b/>
        </w:rPr>
        <w:t xml:space="preserve">" </w:t>
      </w:r>
      <w:r w:rsidRPr="00715DD4">
        <w:rPr>
          <w:bCs/>
        </w:rPr>
        <w:t xml:space="preserve">means </w:t>
      </w:r>
      <w:r w:rsidR="000026BE">
        <w:rPr>
          <w:bCs/>
        </w:rPr>
        <w:t>the</w:t>
      </w:r>
      <w:r w:rsidR="000C376A">
        <w:rPr>
          <w:bCs/>
        </w:rPr>
        <w:t xml:space="preserve"> Customer’s offer to purchase</w:t>
      </w:r>
      <w:r>
        <w:rPr>
          <w:bCs/>
        </w:rPr>
        <w:t xml:space="preserve"> </w:t>
      </w:r>
      <w:r w:rsidR="009C4C9C">
        <w:rPr>
          <w:bCs/>
        </w:rPr>
        <w:t xml:space="preserve">the </w:t>
      </w:r>
      <w:r>
        <w:rPr>
          <w:bCs/>
        </w:rPr>
        <w:t xml:space="preserve">Mobile Devices </w:t>
      </w:r>
      <w:r w:rsidR="009C4C9C">
        <w:rPr>
          <w:bCs/>
        </w:rPr>
        <w:t>described</w:t>
      </w:r>
      <w:r w:rsidR="00957092">
        <w:rPr>
          <w:bCs/>
        </w:rPr>
        <w:t xml:space="preserve"> in the Or</w:t>
      </w:r>
      <w:r w:rsidR="009C4C9C">
        <w:rPr>
          <w:bCs/>
        </w:rPr>
        <w:t>der Form pursuant to these terms</w:t>
      </w:r>
      <w:r w:rsidRPr="00715DD4">
        <w:rPr>
          <w:bCs/>
        </w:rPr>
        <w:t>;</w:t>
      </w:r>
    </w:p>
    <w:p w14:paraId="7804205A" w14:textId="00975BE5" w:rsidR="00CC35CB" w:rsidRPr="00CC35CB" w:rsidRDefault="00CC35CB" w:rsidP="00CC35CB">
      <w:pPr>
        <w:pStyle w:val="Heading2"/>
        <w:widowControl w:val="0"/>
        <w:numPr>
          <w:ilvl w:val="0"/>
          <w:numId w:val="0"/>
        </w:numPr>
        <w:ind w:left="360"/>
        <w:rPr>
          <w:bCs/>
        </w:rPr>
      </w:pPr>
      <w:r w:rsidRPr="00715DD4">
        <w:rPr>
          <w:b/>
        </w:rPr>
        <w:t>"</w:t>
      </w:r>
      <w:r>
        <w:rPr>
          <w:b/>
        </w:rPr>
        <w:t>Order Form</w:t>
      </w:r>
      <w:r w:rsidRPr="00715DD4">
        <w:rPr>
          <w:b/>
        </w:rPr>
        <w:t xml:space="preserve">" </w:t>
      </w:r>
      <w:r w:rsidRPr="00715DD4">
        <w:rPr>
          <w:bCs/>
        </w:rPr>
        <w:t xml:space="preserve">means the </w:t>
      </w:r>
      <w:r w:rsidR="00344DB2">
        <w:rPr>
          <w:bCs/>
        </w:rPr>
        <w:t>form setting out the details of the Order</w:t>
      </w:r>
      <w:r w:rsidRPr="00715DD4">
        <w:rPr>
          <w:bCs/>
        </w:rPr>
        <w:t xml:space="preserve"> </w:t>
      </w:r>
      <w:r w:rsidR="006270BA">
        <w:rPr>
          <w:bCs/>
        </w:rPr>
        <w:t xml:space="preserve">which incorporate </w:t>
      </w:r>
      <w:r w:rsidR="005E713D">
        <w:rPr>
          <w:bCs/>
        </w:rPr>
        <w:t>these</w:t>
      </w:r>
      <w:r w:rsidR="006270BA">
        <w:rPr>
          <w:bCs/>
        </w:rPr>
        <w:t xml:space="preserve"> terms</w:t>
      </w:r>
      <w:r w:rsidR="005E713D">
        <w:rPr>
          <w:bCs/>
        </w:rPr>
        <w:t xml:space="preserve"> by reference</w:t>
      </w:r>
      <w:r w:rsidRPr="00715DD4">
        <w:rPr>
          <w:bCs/>
        </w:rPr>
        <w:t>;</w:t>
      </w:r>
    </w:p>
    <w:p w14:paraId="28E7FDDD" w14:textId="5FED4876" w:rsidR="00312F30" w:rsidRDefault="00312F30" w:rsidP="00FD5031">
      <w:pPr>
        <w:pStyle w:val="Heading2"/>
        <w:widowControl w:val="0"/>
        <w:numPr>
          <w:ilvl w:val="0"/>
          <w:numId w:val="0"/>
        </w:numPr>
        <w:ind w:left="360"/>
      </w:pPr>
      <w:r w:rsidRPr="00715DD4">
        <w:rPr>
          <w:b/>
        </w:rPr>
        <w:t>"Personnel"</w:t>
      </w:r>
      <w:r w:rsidRPr="00715DD4">
        <w:t xml:space="preserve"> means the directors, employees, consultants, agents, advisors or sub-contractors of </w:t>
      </w:r>
      <w:r w:rsidR="00561D9B" w:rsidRPr="00715DD4">
        <w:t>the relevant party</w:t>
      </w:r>
      <w:r w:rsidR="00486E08" w:rsidRPr="00715DD4">
        <w:t>;</w:t>
      </w:r>
    </w:p>
    <w:p w14:paraId="2D01CB62" w14:textId="4BD93446" w:rsidR="00915036" w:rsidRPr="00715DD4" w:rsidRDefault="00915036" w:rsidP="00915036">
      <w:pPr>
        <w:pStyle w:val="Heading2"/>
        <w:widowControl w:val="0"/>
        <w:numPr>
          <w:ilvl w:val="0"/>
          <w:numId w:val="0"/>
        </w:numPr>
        <w:ind w:left="360"/>
      </w:pPr>
      <w:r w:rsidRPr="00715DD4">
        <w:rPr>
          <w:b/>
          <w:bCs/>
        </w:rPr>
        <w:t>"</w:t>
      </w:r>
      <w:r>
        <w:rPr>
          <w:b/>
          <w:bCs/>
        </w:rPr>
        <w:t>Price</w:t>
      </w:r>
      <w:r w:rsidRPr="00715DD4">
        <w:rPr>
          <w:b/>
          <w:bCs/>
        </w:rPr>
        <w:t>"</w:t>
      </w:r>
      <w:r w:rsidRPr="00715DD4">
        <w:rPr>
          <w:bCs/>
        </w:rPr>
        <w:t xml:space="preserve"> means </w:t>
      </w:r>
      <w:r>
        <w:rPr>
          <w:bCs/>
        </w:rPr>
        <w:t xml:space="preserve">the </w:t>
      </w:r>
      <w:r w:rsidR="0093745C">
        <w:rPr>
          <w:bCs/>
        </w:rPr>
        <w:t>price to be paid by the Customer</w:t>
      </w:r>
      <w:r>
        <w:rPr>
          <w:bCs/>
        </w:rPr>
        <w:t xml:space="preserve"> for the Mobile Devices as</w:t>
      </w:r>
      <w:r w:rsidRPr="00715DD4">
        <w:rPr>
          <w:bCs/>
        </w:rPr>
        <w:t xml:space="preserve"> set out in </w:t>
      </w:r>
      <w:r w:rsidR="0093745C">
        <w:rPr>
          <w:bCs/>
        </w:rPr>
        <w:t>the</w:t>
      </w:r>
      <w:r w:rsidRPr="00715DD4">
        <w:rPr>
          <w:bCs/>
        </w:rPr>
        <w:t xml:space="preserve"> </w:t>
      </w:r>
      <w:r>
        <w:rPr>
          <w:bCs/>
        </w:rPr>
        <w:t>Order Form</w:t>
      </w:r>
      <w:r w:rsidRPr="00715DD4">
        <w:rPr>
          <w:bCs/>
        </w:rPr>
        <w:t>;</w:t>
      </w:r>
    </w:p>
    <w:p w14:paraId="6702CB78" w14:textId="0C5B5035" w:rsidR="00312F30" w:rsidRPr="00715DD4" w:rsidRDefault="00312F30" w:rsidP="00FD5031">
      <w:pPr>
        <w:pStyle w:val="Heading2"/>
        <w:widowControl w:val="0"/>
        <w:numPr>
          <w:ilvl w:val="0"/>
          <w:numId w:val="0"/>
        </w:numPr>
        <w:ind w:left="360"/>
      </w:pPr>
      <w:r w:rsidRPr="00715DD4">
        <w:rPr>
          <w:b/>
          <w:bCs/>
        </w:rPr>
        <w:t>"Prohibited Act"</w:t>
      </w:r>
      <w:r w:rsidRPr="00715DD4">
        <w:t xml:space="preserve"> means: (a) </w:t>
      </w:r>
      <w:r w:rsidR="00C87A9B" w:rsidRPr="00715DD4">
        <w:t xml:space="preserve">any act by a party which </w:t>
      </w:r>
      <w:r w:rsidRPr="00715DD4">
        <w:t xml:space="preserve">involves bribery or dishonesty; (b) any illegal act or any act which is an offence under the </w:t>
      </w:r>
      <w:r w:rsidR="00264DA0" w:rsidRPr="00715DD4">
        <w:t xml:space="preserve">Bribery Act 2010, </w:t>
      </w:r>
      <w:r w:rsidRPr="00715DD4">
        <w:t xml:space="preserve">Public Bodies (Corrupt Practices) Act 1889, the Prevention of Corruption Acts 1906-1916, section 117 of the Local Government Act 1972; or (c) any act which does or attempts to defraud </w:t>
      </w:r>
      <w:r w:rsidR="00486E08" w:rsidRPr="00715DD4">
        <w:t>LGfL</w:t>
      </w:r>
      <w:r w:rsidRPr="00715DD4">
        <w:t>, and which</w:t>
      </w:r>
      <w:r w:rsidR="00CC520B" w:rsidRPr="00715DD4">
        <w:t xml:space="preserve"> in each case</w:t>
      </w:r>
      <w:r w:rsidRPr="00715DD4">
        <w:t xml:space="preserve"> is committed in relation to the obtaining or performance of this Agreement</w:t>
      </w:r>
      <w:r w:rsidR="00486E08" w:rsidRPr="00715DD4">
        <w:t>;</w:t>
      </w:r>
      <w:r w:rsidR="00C475B4">
        <w:t xml:space="preserve"> </w:t>
      </w:r>
    </w:p>
    <w:p w14:paraId="74CFDB3A" w14:textId="7875628A" w:rsidR="001E63CC" w:rsidRDefault="005B6CF2" w:rsidP="00B07CC1">
      <w:pPr>
        <w:pStyle w:val="Heading2"/>
        <w:widowControl w:val="0"/>
        <w:numPr>
          <w:ilvl w:val="0"/>
          <w:numId w:val="0"/>
        </w:numPr>
        <w:ind w:left="360"/>
      </w:pPr>
      <w:r>
        <w:rPr>
          <w:b/>
        </w:rPr>
        <w:t>"Software"</w:t>
      </w:r>
      <w:r>
        <w:t xml:space="preserve"> </w:t>
      </w:r>
      <w:r w:rsidR="003A2434">
        <w:t xml:space="preserve">means the software application(s) identified in the Order form, including </w:t>
      </w:r>
      <w:r>
        <w:t>computer programs, operating systems, firmware and all associated files and data</w:t>
      </w:r>
      <w:r w:rsidR="007925BC">
        <w:t xml:space="preserve">, </w:t>
      </w:r>
      <w:r>
        <w:t xml:space="preserve">including </w:t>
      </w:r>
      <w:r w:rsidR="007925BC">
        <w:t xml:space="preserve">open source code, </w:t>
      </w:r>
      <w:r>
        <w:t>job control and other procedure language files, macros and configuration files</w:t>
      </w:r>
      <w:r w:rsidR="00C63F52">
        <w:t>;</w:t>
      </w:r>
      <w:r>
        <w:t xml:space="preserve"> </w:t>
      </w:r>
    </w:p>
    <w:p w14:paraId="48E963EF" w14:textId="65A8CBED" w:rsidR="005B6CF2" w:rsidRDefault="001E63CC" w:rsidP="00B07CC1">
      <w:pPr>
        <w:pStyle w:val="Heading2"/>
        <w:widowControl w:val="0"/>
        <w:numPr>
          <w:ilvl w:val="0"/>
          <w:numId w:val="0"/>
        </w:numPr>
        <w:ind w:left="360"/>
      </w:pPr>
      <w:r w:rsidRPr="00715DD4">
        <w:rPr>
          <w:b/>
        </w:rPr>
        <w:t>"</w:t>
      </w:r>
      <w:r>
        <w:rPr>
          <w:b/>
        </w:rPr>
        <w:t>Term</w:t>
      </w:r>
      <w:r w:rsidRPr="00715DD4">
        <w:rPr>
          <w:b/>
        </w:rPr>
        <w:t>"</w:t>
      </w:r>
      <w:r>
        <w:rPr>
          <w:bCs/>
        </w:rPr>
        <w:t xml:space="preserve"> has the meaning given in clause </w:t>
      </w:r>
      <w:r>
        <w:rPr>
          <w:bCs/>
        </w:rPr>
        <w:fldChar w:fldCharType="begin"/>
      </w:r>
      <w:r>
        <w:rPr>
          <w:bCs/>
        </w:rPr>
        <w:instrText xml:space="preserve"> REF _Ref51838568 \r \h </w:instrText>
      </w:r>
      <w:r>
        <w:rPr>
          <w:bCs/>
        </w:rPr>
      </w:r>
      <w:r>
        <w:rPr>
          <w:bCs/>
        </w:rPr>
        <w:fldChar w:fldCharType="separate"/>
      </w:r>
      <w:r w:rsidR="00831EAE">
        <w:rPr>
          <w:bCs/>
        </w:rPr>
        <w:t>11.1</w:t>
      </w:r>
      <w:r>
        <w:rPr>
          <w:bCs/>
        </w:rPr>
        <w:fldChar w:fldCharType="end"/>
      </w:r>
      <w:r>
        <w:rPr>
          <w:bCs/>
        </w:rPr>
        <w:t xml:space="preserve">; </w:t>
      </w:r>
    </w:p>
    <w:p w14:paraId="17A437EA" w14:textId="303B134A" w:rsidR="0053300C" w:rsidRDefault="0053300C" w:rsidP="0053300C">
      <w:pPr>
        <w:pStyle w:val="Heading2"/>
        <w:widowControl w:val="0"/>
        <w:numPr>
          <w:ilvl w:val="0"/>
          <w:numId w:val="0"/>
        </w:numPr>
        <w:ind w:left="360"/>
      </w:pPr>
      <w:r>
        <w:rPr>
          <w:b/>
        </w:rPr>
        <w:t>"Trial Period"</w:t>
      </w:r>
      <w:r>
        <w:rPr>
          <w:bCs/>
        </w:rPr>
        <w:t xml:space="preserve"> means the period of time identified in the Order Form or otherwise notified to the Customer by LGfL; </w:t>
      </w:r>
      <w:r>
        <w:t>and</w:t>
      </w:r>
    </w:p>
    <w:p w14:paraId="7C01DF22" w14:textId="51E49307" w:rsidR="00312F30" w:rsidRPr="00715DD4" w:rsidRDefault="00312F30" w:rsidP="00B07CC1">
      <w:pPr>
        <w:pStyle w:val="Heading2"/>
        <w:widowControl w:val="0"/>
        <w:numPr>
          <w:ilvl w:val="0"/>
          <w:numId w:val="0"/>
        </w:numPr>
        <w:ind w:left="360"/>
      </w:pPr>
      <w:r w:rsidRPr="00715DD4">
        <w:rPr>
          <w:b/>
        </w:rPr>
        <w:t>"Working Day"</w:t>
      </w:r>
      <w:r w:rsidRPr="00715DD4">
        <w:t xml:space="preserve"> means any day which is not a Saturday, Sunday or a public holiday in England</w:t>
      </w:r>
      <w:r w:rsidR="00356D26" w:rsidRPr="00715DD4">
        <w:t xml:space="preserve"> and Wales</w:t>
      </w:r>
      <w:r w:rsidRPr="00715DD4">
        <w:t>.</w:t>
      </w:r>
    </w:p>
    <w:p w14:paraId="6EDA18B4" w14:textId="70B4EC39" w:rsidR="00312F30" w:rsidRPr="00715DD4" w:rsidRDefault="00312F30" w:rsidP="00814590">
      <w:pPr>
        <w:pStyle w:val="Heading2"/>
        <w:widowControl w:val="0"/>
      </w:pPr>
      <w:r w:rsidRPr="00715DD4">
        <w:t xml:space="preserve">In this Agreement, unless the context </w:t>
      </w:r>
      <w:r w:rsidR="008F545B" w:rsidRPr="00715DD4">
        <w:t xml:space="preserve">requires </w:t>
      </w:r>
      <w:r w:rsidRPr="00715DD4">
        <w:t>otherwise: (a) the clause headings are for convenience of reference only and shall not affect the construction or interpretation of this Agreement; (b) the word "including" shall be understood to mean "including without limitation" and the word "includes" shall be understood to mean "includes without limitation"; and (c) words of a technical nature shall be construed in accordance with general trade usage in the computer industry.</w:t>
      </w:r>
    </w:p>
    <w:p w14:paraId="5BED2D77" w14:textId="33CB6AB6" w:rsidR="006C4C22" w:rsidRPr="00715DD4" w:rsidRDefault="00582876" w:rsidP="00427EAE">
      <w:pPr>
        <w:pStyle w:val="Heading1"/>
      </w:pPr>
      <w:r>
        <w:t>Supply of Mobile Devices</w:t>
      </w:r>
    </w:p>
    <w:p w14:paraId="5D1448AB" w14:textId="528C18D9" w:rsidR="006F5CF0" w:rsidRDefault="00D075EC" w:rsidP="00814590">
      <w:pPr>
        <w:pStyle w:val="Heading2"/>
        <w:widowControl w:val="0"/>
        <w:tabs>
          <w:tab w:val="left" w:pos="993"/>
        </w:tabs>
      </w:pPr>
      <w:bookmarkStart w:id="0" w:name="_Ref478910399"/>
      <w:bookmarkStart w:id="1" w:name="_Ref478908266"/>
      <w:r>
        <w:t>LGfL shall supply and the Customer shall purchase the Mobile Devices</w:t>
      </w:r>
      <w:r w:rsidR="00BB3924">
        <w:t xml:space="preserve"> on the terms of this Agreement</w:t>
      </w:r>
      <w:r w:rsidR="008F545B" w:rsidRPr="00715DD4">
        <w:t>.</w:t>
      </w:r>
      <w:r w:rsidR="006F5CF0" w:rsidRPr="00715DD4">
        <w:t xml:space="preserve"> </w:t>
      </w:r>
    </w:p>
    <w:p w14:paraId="43D053BF" w14:textId="5F1F6D6E" w:rsidR="00FA6EA5" w:rsidRPr="00715DD4" w:rsidRDefault="0029187E" w:rsidP="00814590">
      <w:pPr>
        <w:pStyle w:val="Heading2"/>
        <w:widowControl w:val="0"/>
        <w:tabs>
          <w:tab w:val="left" w:pos="993"/>
        </w:tabs>
      </w:pPr>
      <w:r w:rsidRPr="0029187E">
        <w:t xml:space="preserve">The Customer may </w:t>
      </w:r>
      <w:r w:rsidR="00616704" w:rsidRPr="0029187E">
        <w:t xml:space="preserve">amend </w:t>
      </w:r>
      <w:r w:rsidR="00616704">
        <w:t>its</w:t>
      </w:r>
      <w:r w:rsidR="00616704" w:rsidRPr="0029187E">
        <w:t xml:space="preserve"> </w:t>
      </w:r>
      <w:r w:rsidR="00FD287E">
        <w:t>O</w:t>
      </w:r>
      <w:r w:rsidR="00616704" w:rsidRPr="0029187E">
        <w:t xml:space="preserve">rder </w:t>
      </w:r>
      <w:r w:rsidR="00577281">
        <w:t xml:space="preserve">by written notice </w:t>
      </w:r>
      <w:r w:rsidRPr="0029187E">
        <w:t xml:space="preserve">within </w:t>
      </w:r>
      <w:r>
        <w:t>10 Working Days</w:t>
      </w:r>
      <w:r w:rsidRPr="0029187E">
        <w:t xml:space="preserve"> of </w:t>
      </w:r>
      <w:r w:rsidR="00577281">
        <w:t xml:space="preserve">the date the </w:t>
      </w:r>
      <w:r w:rsidR="00A944D0">
        <w:t>O</w:t>
      </w:r>
      <w:r w:rsidR="00577281">
        <w:t>rder is accepted by LGfL</w:t>
      </w:r>
      <w:r w:rsidRPr="0029187E">
        <w:t xml:space="preserve">. </w:t>
      </w:r>
      <w:r w:rsidR="00577281">
        <w:t xml:space="preserve"> </w:t>
      </w:r>
    </w:p>
    <w:bookmarkEnd w:id="0"/>
    <w:bookmarkEnd w:id="1"/>
    <w:p w14:paraId="20CAFFAF" w14:textId="77777777" w:rsidR="00DE1390" w:rsidRDefault="004F4C24" w:rsidP="00856D73">
      <w:pPr>
        <w:pStyle w:val="Heading2"/>
        <w:widowControl w:val="0"/>
        <w:tabs>
          <w:tab w:val="left" w:pos="993"/>
        </w:tabs>
      </w:pPr>
      <w:r>
        <w:t>If LGfL anticipates that it will be unable to meet the Customer</w:t>
      </w:r>
      <w:r w:rsidR="00DE1390">
        <w:t>’s requirements:</w:t>
      </w:r>
    </w:p>
    <w:p w14:paraId="7E11E8C3" w14:textId="06600DE6" w:rsidR="00DE1390" w:rsidRDefault="00DE1390" w:rsidP="00DE1390">
      <w:pPr>
        <w:pStyle w:val="Heading3"/>
      </w:pPr>
      <w:r>
        <w:t xml:space="preserve">LGfL shall notify the Customer in writing as soon as possible; </w:t>
      </w:r>
      <w:r w:rsidR="00FB20FF">
        <w:t>and</w:t>
      </w:r>
    </w:p>
    <w:p w14:paraId="399570BC" w14:textId="0A1D6C08" w:rsidR="003443D0" w:rsidRPr="00715DD4" w:rsidRDefault="00DE1390" w:rsidP="00DE1390">
      <w:pPr>
        <w:pStyle w:val="Heading3"/>
      </w:pPr>
      <w:r>
        <w:t>the Customer may</w:t>
      </w:r>
      <w:r w:rsidR="00FB20FF">
        <w:t xml:space="preserve"> either amend or cancel its </w:t>
      </w:r>
      <w:r w:rsidR="00A944D0">
        <w:t>O</w:t>
      </w:r>
      <w:r w:rsidR="00FB20FF">
        <w:t xml:space="preserve">rder </w:t>
      </w:r>
      <w:r w:rsidR="00193412">
        <w:t>accordingly</w:t>
      </w:r>
      <w:r w:rsidR="003443D0" w:rsidRPr="00715DD4">
        <w:t>.</w:t>
      </w:r>
    </w:p>
    <w:p w14:paraId="7C7384CE" w14:textId="57A378D7" w:rsidR="00D979D4" w:rsidRDefault="00DD086C" w:rsidP="00917EB5">
      <w:pPr>
        <w:pStyle w:val="Heading2"/>
      </w:pPr>
      <w:r>
        <w:t>LGfL shall delive</w:t>
      </w:r>
      <w:r w:rsidR="007B7D36">
        <w:t>r</w:t>
      </w:r>
      <w:r>
        <w:t xml:space="preserve"> the Mobile Devices to the address of the Customer as notified in the Order Form</w:t>
      </w:r>
      <w:r w:rsidR="00007268">
        <w:t xml:space="preserve">, which delivery may be made </w:t>
      </w:r>
      <w:r w:rsidR="00917EB5">
        <w:t>in</w:t>
      </w:r>
      <w:r w:rsidR="00007268">
        <w:t xml:space="preserve"> instalments </w:t>
      </w:r>
      <w:r w:rsidR="0083019C">
        <w:t xml:space="preserve">as </w:t>
      </w:r>
      <w:r w:rsidR="00917EB5">
        <w:t>Mobile Devices become available.</w:t>
      </w:r>
    </w:p>
    <w:p w14:paraId="355FAE11" w14:textId="4AF467EB" w:rsidR="00EA4946" w:rsidRPr="00F62CBB" w:rsidRDefault="00EA4946" w:rsidP="008B09C3">
      <w:pPr>
        <w:pStyle w:val="Heading2"/>
        <w:widowControl w:val="0"/>
        <w:ind w:left="357" w:hanging="357"/>
      </w:pPr>
      <w:r>
        <w:t xml:space="preserve">Delivery by </w:t>
      </w:r>
      <w:r w:rsidR="00556C7F">
        <w:t>instalments</w:t>
      </w:r>
      <w:r>
        <w:t xml:space="preserve"> or delays in delivery shall not entitle the Customer to refuse to take delivery of its </w:t>
      </w:r>
      <w:r w:rsidR="00A944D0">
        <w:t>O</w:t>
      </w:r>
      <w:r>
        <w:t>rder</w:t>
      </w:r>
      <w:r w:rsidR="008E48C8">
        <w:t xml:space="preserve"> and LGfL shall </w:t>
      </w:r>
      <w:r w:rsidR="00FD287E">
        <w:t xml:space="preserve">have no liability </w:t>
      </w:r>
      <w:r w:rsidR="008B09C3">
        <w:rPr>
          <w:color w:val="000000"/>
        </w:rPr>
        <w:t xml:space="preserve">for any failure or delay in delivering an Order to the extent that the failure or delay is caused by </w:t>
      </w:r>
      <w:r w:rsidR="00AE4947">
        <w:rPr>
          <w:color w:val="000000"/>
        </w:rPr>
        <w:t xml:space="preserve">events </w:t>
      </w:r>
      <w:r w:rsidR="00114430">
        <w:rPr>
          <w:color w:val="000000"/>
        </w:rPr>
        <w:t>not within its reasonable control</w:t>
      </w:r>
      <w:r w:rsidR="008B09C3">
        <w:rPr>
          <w:color w:val="000000"/>
        </w:rPr>
        <w:t>.</w:t>
      </w:r>
    </w:p>
    <w:p w14:paraId="25620214" w14:textId="25F579D1" w:rsidR="00F62CBB" w:rsidRPr="000C7740" w:rsidRDefault="00F62CBB" w:rsidP="008B09C3">
      <w:pPr>
        <w:pStyle w:val="Heading2"/>
        <w:widowControl w:val="0"/>
        <w:ind w:left="357" w:hanging="357"/>
      </w:pPr>
      <w:r>
        <w:rPr>
          <w:color w:val="000000"/>
        </w:rPr>
        <w:t xml:space="preserve">If the Customer fails to take delivery of an Order, then, except where that failure or delay is caused by </w:t>
      </w:r>
      <w:r w:rsidR="00BE6BF9">
        <w:rPr>
          <w:color w:val="000000"/>
        </w:rPr>
        <w:t>L</w:t>
      </w:r>
      <w:r w:rsidR="007A02DC">
        <w:rPr>
          <w:color w:val="000000"/>
        </w:rPr>
        <w:t>G</w:t>
      </w:r>
      <w:r w:rsidR="00BE6BF9">
        <w:rPr>
          <w:color w:val="000000"/>
        </w:rPr>
        <w:t>fL’s</w:t>
      </w:r>
      <w:r>
        <w:rPr>
          <w:color w:val="000000"/>
        </w:rPr>
        <w:t xml:space="preserve"> failure to comply with its obligations under this </w:t>
      </w:r>
      <w:r w:rsidR="00856EA3">
        <w:rPr>
          <w:color w:val="000000"/>
        </w:rPr>
        <w:t>A</w:t>
      </w:r>
      <w:r>
        <w:rPr>
          <w:color w:val="000000"/>
        </w:rPr>
        <w:t>greement</w:t>
      </w:r>
      <w:r w:rsidR="000C7740">
        <w:rPr>
          <w:color w:val="000000"/>
        </w:rPr>
        <w:t>:</w:t>
      </w:r>
    </w:p>
    <w:p w14:paraId="125ED209" w14:textId="71FA751A" w:rsidR="000C7740" w:rsidRPr="00C65B70" w:rsidRDefault="00C65B70" w:rsidP="000C7740">
      <w:pPr>
        <w:pStyle w:val="Heading3"/>
      </w:pPr>
      <w:r>
        <w:rPr>
          <w:color w:val="000000"/>
        </w:rPr>
        <w:t>delivery of the Order shall be deemed to have been completed at 9.00 am on the date the Order is presented for delivery; and</w:t>
      </w:r>
    </w:p>
    <w:p w14:paraId="306B4C80" w14:textId="2BD0EE1A" w:rsidR="00C65B70" w:rsidRPr="00226560" w:rsidRDefault="002958E2" w:rsidP="000C7740">
      <w:pPr>
        <w:pStyle w:val="Heading3"/>
      </w:pPr>
      <w:r>
        <w:rPr>
          <w:color w:val="000000"/>
        </w:rPr>
        <w:lastRenderedPageBreak/>
        <w:t>LGfL shall store the Order until delivery takes place and may charge the Customer for all related costs and expenses, including insurance.</w:t>
      </w:r>
    </w:p>
    <w:p w14:paraId="2290627E" w14:textId="77777777" w:rsidR="00226560" w:rsidRDefault="00226560" w:rsidP="00E2348E">
      <w:pPr>
        <w:pStyle w:val="Heading1"/>
        <w:keepNext/>
      </w:pPr>
      <w:r>
        <w:t>Defective Products</w:t>
      </w:r>
    </w:p>
    <w:p w14:paraId="181F2EA7" w14:textId="6849809E" w:rsidR="00226560" w:rsidRDefault="00226560" w:rsidP="00E2348E">
      <w:pPr>
        <w:pStyle w:val="Heading2"/>
        <w:keepNext/>
      </w:pPr>
      <w:bookmarkStart w:id="2" w:name="_Ref40707425"/>
      <w:r>
        <w:t xml:space="preserve">Subject to clause </w:t>
      </w:r>
      <w:r>
        <w:fldChar w:fldCharType="begin"/>
      </w:r>
      <w:r>
        <w:instrText xml:space="preserve"> REF _Ref40708009 \r \h </w:instrText>
      </w:r>
      <w:r>
        <w:fldChar w:fldCharType="separate"/>
      </w:r>
      <w:r w:rsidR="00831EAE">
        <w:t>3.3</w:t>
      </w:r>
      <w:r>
        <w:fldChar w:fldCharType="end"/>
      </w:r>
      <w:r>
        <w:t>, the Customer may reject Mobile Devices that do not comply with the specification set out in the Order Form or which are not of satisfactory quality within the meaning of the Sale of Goods Act 1979 (as amended), provided that</w:t>
      </w:r>
      <w:r w:rsidRPr="007562DE">
        <w:t xml:space="preserve"> </w:t>
      </w:r>
      <w:r>
        <w:t>notice of rejection is delivered to LGfL in writing within 5 Working Days of delivery.</w:t>
      </w:r>
      <w:bookmarkEnd w:id="2"/>
    </w:p>
    <w:p w14:paraId="7F4D7CF4" w14:textId="0B777FDC" w:rsidR="00226560" w:rsidRDefault="00226560" w:rsidP="00226560">
      <w:pPr>
        <w:pStyle w:val="Heading2"/>
      </w:pPr>
      <w:r>
        <w:t xml:space="preserve">The Customer will be deemed to have accepted the Mobile Devices if it fails to reject them in accordance with clause </w:t>
      </w:r>
      <w:r>
        <w:fldChar w:fldCharType="begin"/>
      </w:r>
      <w:r>
        <w:instrText xml:space="preserve"> REF _Ref40707425 \r \h </w:instrText>
      </w:r>
      <w:r>
        <w:fldChar w:fldCharType="separate"/>
      </w:r>
      <w:r w:rsidR="00831EAE">
        <w:t>3.1</w:t>
      </w:r>
      <w:r>
        <w:fldChar w:fldCharType="end"/>
      </w:r>
      <w:r>
        <w:t>.</w:t>
      </w:r>
    </w:p>
    <w:p w14:paraId="5ABF96FF" w14:textId="77777777" w:rsidR="00226560" w:rsidRDefault="00226560" w:rsidP="00226560">
      <w:pPr>
        <w:pStyle w:val="Heading2"/>
      </w:pPr>
      <w:bookmarkStart w:id="3" w:name="_Ref40708009"/>
      <w:r>
        <w:t>The Customer may not reject Mobile Devices if:</w:t>
      </w:r>
      <w:bookmarkEnd w:id="3"/>
    </w:p>
    <w:p w14:paraId="0310A64F" w14:textId="77777777" w:rsidR="00226560" w:rsidRPr="00D4630A" w:rsidRDefault="00226560" w:rsidP="00226560">
      <w:pPr>
        <w:pStyle w:val="Heading3"/>
      </w:pPr>
      <w:r>
        <w:rPr>
          <w:color w:val="000000"/>
        </w:rPr>
        <w:t>it uses the Mobile Devices;</w:t>
      </w:r>
    </w:p>
    <w:p w14:paraId="30C8C6DE" w14:textId="77777777" w:rsidR="00226560" w:rsidRPr="0038182E" w:rsidRDefault="00226560" w:rsidP="00226560">
      <w:pPr>
        <w:pStyle w:val="Heading3"/>
      </w:pPr>
      <w:r>
        <w:rPr>
          <w:color w:val="000000"/>
        </w:rPr>
        <w:t>the defect arises because the Customer failed to follow LGfL’s instructions for the storage, commissioning, use and maintenance of the Mobile Devices or (if there are none) reasonable behaviour regarding the same;</w:t>
      </w:r>
    </w:p>
    <w:p w14:paraId="218205E6" w14:textId="77777777" w:rsidR="00226560" w:rsidRDefault="00226560" w:rsidP="00226560">
      <w:pPr>
        <w:pStyle w:val="Heading3"/>
      </w:pPr>
      <w:bookmarkStart w:id="4" w:name="a346157"/>
      <w:r>
        <w:t>the Customer alters or repairs the Mobile Devices without the written consent of LGfL;</w:t>
      </w:r>
      <w:bookmarkEnd w:id="4"/>
    </w:p>
    <w:p w14:paraId="14290B78" w14:textId="77777777" w:rsidR="00226560" w:rsidRDefault="00226560" w:rsidP="00226560">
      <w:pPr>
        <w:pStyle w:val="Heading3"/>
      </w:pPr>
      <w:bookmarkStart w:id="5" w:name="a679049"/>
      <w:r>
        <w:t>the defect arises as a result of wilful damage, negligence, or abnormal storage or working conditions; or</w:t>
      </w:r>
      <w:bookmarkEnd w:id="5"/>
    </w:p>
    <w:p w14:paraId="05A9B5F1" w14:textId="77777777" w:rsidR="00226560" w:rsidRPr="00A41A4E" w:rsidRDefault="00226560" w:rsidP="00226560">
      <w:pPr>
        <w:pStyle w:val="Heading3"/>
      </w:pPr>
      <w:r>
        <w:rPr>
          <w:color w:val="000000"/>
        </w:rPr>
        <w:t>the Mobile Devices differ from their description as a result of changes necessary to comply with Applicable Law.</w:t>
      </w:r>
    </w:p>
    <w:p w14:paraId="5AB58CA1" w14:textId="3A57EB7F" w:rsidR="00226560" w:rsidRDefault="00226560" w:rsidP="00226560">
      <w:pPr>
        <w:pStyle w:val="Heading2"/>
      </w:pPr>
      <w:bookmarkStart w:id="6" w:name="_Ref40707974"/>
      <w:r>
        <w:t xml:space="preserve">If the Customer rejects the Mobile Devices pursuant to clause </w:t>
      </w:r>
      <w:r>
        <w:fldChar w:fldCharType="begin"/>
      </w:r>
      <w:r>
        <w:instrText xml:space="preserve"> REF _Ref40707425 \r \h </w:instrText>
      </w:r>
      <w:r>
        <w:fldChar w:fldCharType="separate"/>
      </w:r>
      <w:r w:rsidR="00831EAE">
        <w:t>3.1</w:t>
      </w:r>
      <w:r>
        <w:fldChar w:fldCharType="end"/>
      </w:r>
      <w:r>
        <w:t>, LGfL may repair or replace the rejected Mobile Devices or repay the Price pro rata.</w:t>
      </w:r>
      <w:bookmarkEnd w:id="6"/>
    </w:p>
    <w:p w14:paraId="01E0F188" w14:textId="3EFE30A0" w:rsidR="00226560" w:rsidRDefault="00226560" w:rsidP="00226560">
      <w:pPr>
        <w:pStyle w:val="Heading2"/>
      </w:pPr>
      <w:r>
        <w:t xml:space="preserve">If LGfL complies with its obligations in clause </w:t>
      </w:r>
      <w:r>
        <w:fldChar w:fldCharType="begin"/>
      </w:r>
      <w:r>
        <w:instrText xml:space="preserve"> REF _Ref40707974 \r \h </w:instrText>
      </w:r>
      <w:r>
        <w:fldChar w:fldCharType="separate"/>
      </w:r>
      <w:r w:rsidR="00831EAE">
        <w:t>3.4</w:t>
      </w:r>
      <w:r>
        <w:fldChar w:fldCharType="end"/>
      </w:r>
      <w:r>
        <w:t xml:space="preserve"> it shall have no further liability to the Customer.</w:t>
      </w:r>
    </w:p>
    <w:p w14:paraId="2D9E973E" w14:textId="77777777" w:rsidR="00226560" w:rsidRDefault="00226560" w:rsidP="00226560">
      <w:pPr>
        <w:pStyle w:val="Heading1"/>
      </w:pPr>
      <w:bookmarkStart w:id="7" w:name="_Ref40719777"/>
      <w:r>
        <w:t>Title and Risk</w:t>
      </w:r>
      <w:bookmarkEnd w:id="7"/>
    </w:p>
    <w:p w14:paraId="381CFF24" w14:textId="77777777" w:rsidR="00226560" w:rsidRDefault="00226560" w:rsidP="00226560">
      <w:pPr>
        <w:pStyle w:val="Heading2"/>
      </w:pPr>
      <w:r>
        <w:t>Risk in Mobile Devices shall pass to the Customer on delivery.</w:t>
      </w:r>
    </w:p>
    <w:p w14:paraId="4B74DBD9" w14:textId="77777777" w:rsidR="00226560" w:rsidRDefault="00226560" w:rsidP="00226560">
      <w:pPr>
        <w:pStyle w:val="Heading2"/>
        <w:widowControl w:val="0"/>
        <w:ind w:left="357" w:hanging="357"/>
      </w:pPr>
      <w:r>
        <w:t>Title to the Mobile Devices shall pass to the Customer when LGfL receives payment of the Price in full, whether in cash or cleared funds.</w:t>
      </w:r>
    </w:p>
    <w:p w14:paraId="5D22F084" w14:textId="77777777" w:rsidR="00226560" w:rsidRDefault="00226560" w:rsidP="00226560">
      <w:pPr>
        <w:pStyle w:val="Heading2"/>
      </w:pPr>
      <w:r>
        <w:t>Until title to the Mobile Devices has passed to the Customer, the Customer shall:</w:t>
      </w:r>
    </w:p>
    <w:p w14:paraId="2071EC3E" w14:textId="77777777" w:rsidR="00226560" w:rsidRDefault="00226560" w:rsidP="00226560">
      <w:pPr>
        <w:pStyle w:val="Heading3"/>
      </w:pPr>
      <w:bookmarkStart w:id="8" w:name="a1021939"/>
      <w:r>
        <w:t>store the Mobile Devices separately from all other mobile devices held by the Customer so that they remain readily identifiable as LGfL’s property;</w:t>
      </w:r>
      <w:bookmarkEnd w:id="8"/>
    </w:p>
    <w:p w14:paraId="4D80DCC4" w14:textId="77777777" w:rsidR="00226560" w:rsidRDefault="00226560" w:rsidP="00226560">
      <w:pPr>
        <w:pStyle w:val="Heading3"/>
      </w:pPr>
      <w:bookmarkStart w:id="9" w:name="a125680"/>
      <w:r>
        <w:t>not remove, deface or obscure any identifying mark or packaging on or relating to the Mobile Devices; and</w:t>
      </w:r>
      <w:bookmarkEnd w:id="9"/>
    </w:p>
    <w:p w14:paraId="63A227AA" w14:textId="77777777" w:rsidR="00226560" w:rsidRPr="00384EA5" w:rsidRDefault="00226560" w:rsidP="00226560">
      <w:pPr>
        <w:pStyle w:val="Heading3"/>
      </w:pPr>
      <w:bookmarkStart w:id="10" w:name="a76318"/>
      <w:r>
        <w:rPr>
          <w:color w:val="000000"/>
        </w:rPr>
        <w:t>maintain the Mobile Devices in satisfactory condition and keep them insured on LGfL’s behalf for their full price against all risks.</w:t>
      </w:r>
      <w:bookmarkEnd w:id="10"/>
    </w:p>
    <w:p w14:paraId="5ED88424" w14:textId="77777777" w:rsidR="00226560" w:rsidRDefault="00226560" w:rsidP="00226560">
      <w:pPr>
        <w:pStyle w:val="Heading2"/>
      </w:pPr>
      <w:r>
        <w:t>The Customer may, as principal but not as LGfL’s agent, resell or use the Mobile Devices in the ordinary course of its business (but not otherwise) before LGfL receives payment, in which case title to the Mobile Devices shall pass to the Customer immediately before the time at which the resale occurs.</w:t>
      </w:r>
    </w:p>
    <w:p w14:paraId="094B2328" w14:textId="59F0E836" w:rsidR="00226560" w:rsidRPr="0096420C" w:rsidRDefault="00226560" w:rsidP="00226560">
      <w:pPr>
        <w:pStyle w:val="Heading2"/>
      </w:pPr>
      <w:r>
        <w:t>If the Customer becomes subject to an Insolvency Event</w:t>
      </w:r>
      <w:r w:rsidRPr="000B4D3E">
        <w:t xml:space="preserve"> </w:t>
      </w:r>
      <w:r>
        <w:t xml:space="preserve">before title passes to it, LGfL may </w:t>
      </w:r>
      <w:r w:rsidRPr="00E3281F">
        <w:rPr>
          <w:color w:val="000000"/>
        </w:rPr>
        <w:t>require the Customer to deliver up the Mobile Devices</w:t>
      </w:r>
      <w:r>
        <w:rPr>
          <w:color w:val="000000"/>
        </w:rPr>
        <w:t xml:space="preserve"> </w:t>
      </w:r>
      <w:r>
        <w:t xml:space="preserve">at any time </w:t>
      </w:r>
      <w:r>
        <w:rPr>
          <w:color w:val="000000"/>
        </w:rPr>
        <w:t>and</w:t>
      </w:r>
      <w:r w:rsidRPr="000B4D3E">
        <w:rPr>
          <w:color w:val="000000"/>
        </w:rPr>
        <w:t xml:space="preserve"> </w:t>
      </w:r>
      <w:r>
        <w:rPr>
          <w:color w:val="000000"/>
        </w:rPr>
        <w:t>enter any premises where the Mobile Devices are stored to recover them if the Customer fails to do so promptly.</w:t>
      </w:r>
      <w:r w:rsidRPr="00715DD4">
        <w:t xml:space="preserve"> </w:t>
      </w:r>
    </w:p>
    <w:p w14:paraId="33B721E2" w14:textId="2D30913F" w:rsidR="0096420C" w:rsidRDefault="00226560" w:rsidP="0096420C">
      <w:pPr>
        <w:pStyle w:val="Heading1"/>
      </w:pPr>
      <w:bookmarkStart w:id="11" w:name="_Ref42157096"/>
      <w:r>
        <w:t>Supply</w:t>
      </w:r>
      <w:r w:rsidR="0096420C">
        <w:t xml:space="preserve"> of Software</w:t>
      </w:r>
      <w:bookmarkEnd w:id="11"/>
    </w:p>
    <w:p w14:paraId="20F2C4D1" w14:textId="49F43FC2" w:rsidR="00470417" w:rsidRDefault="007215E3" w:rsidP="00470417">
      <w:pPr>
        <w:pStyle w:val="Heading2"/>
        <w:widowControl w:val="0"/>
      </w:pPr>
      <w:bookmarkStart w:id="12" w:name="_Ref42156592"/>
      <w:r>
        <w:t xml:space="preserve">If LGfL </w:t>
      </w:r>
      <w:r w:rsidR="0033737A">
        <w:t>agrees to supply</w:t>
      </w:r>
      <w:r>
        <w:t xml:space="preserve"> any Software with the Mobile</w:t>
      </w:r>
      <w:r w:rsidR="000D0B73">
        <w:t xml:space="preserve"> Devices, the Customer</w:t>
      </w:r>
      <w:r w:rsidR="00470417">
        <w:t xml:space="preserve"> warrants, represents and undertakes</w:t>
      </w:r>
      <w:r w:rsidR="00C60502">
        <w:t xml:space="preserve"> that it will use, or </w:t>
      </w:r>
      <w:r w:rsidR="00FB4213">
        <w:t xml:space="preserve">permit the use of </w:t>
      </w:r>
      <w:r w:rsidR="00470417">
        <w:t>the Software in accordance with the terms of this Agreement and the Acceptable Use Policy.</w:t>
      </w:r>
      <w:bookmarkEnd w:id="12"/>
    </w:p>
    <w:p w14:paraId="3A3ECAAC" w14:textId="1CC3EA3C" w:rsidR="00E85101" w:rsidRDefault="00E85101" w:rsidP="00E85101">
      <w:pPr>
        <w:pStyle w:val="Heading2"/>
        <w:widowControl w:val="0"/>
      </w:pPr>
      <w:bookmarkStart w:id="13" w:name="_Ref51769338"/>
      <w:r>
        <w:t>The Customer may install the number of instances of the Software identified in the Order Form on devices for the benefit of itself and its End Users, each a permitted sub-licen</w:t>
      </w:r>
      <w:r w:rsidR="00521BDF">
        <w:t>s</w:t>
      </w:r>
      <w:r>
        <w:t>e</w:t>
      </w:r>
      <w:r w:rsidR="008965F4">
        <w:t>e</w:t>
      </w:r>
      <w:r>
        <w:t>.</w:t>
      </w:r>
      <w:bookmarkEnd w:id="13"/>
    </w:p>
    <w:p w14:paraId="3AF9B733" w14:textId="67826390" w:rsidR="00470417" w:rsidRDefault="00470417" w:rsidP="00470417">
      <w:pPr>
        <w:pStyle w:val="Heading2"/>
        <w:widowControl w:val="0"/>
      </w:pPr>
      <w:bookmarkStart w:id="14" w:name="_Ref478577111"/>
      <w:r>
        <w:t xml:space="preserve">The </w:t>
      </w:r>
      <w:r w:rsidR="000628D2">
        <w:t>Customer</w:t>
      </w:r>
      <w:r w:rsidRPr="0047163B">
        <w:t xml:space="preserve"> shall not (whether or not for profit</w:t>
      </w:r>
      <w:r w:rsidR="001947D8" w:rsidRPr="001947D8">
        <w:t xml:space="preserve"> </w:t>
      </w:r>
      <w:r w:rsidR="001947D8">
        <w:t xml:space="preserve">but without prejudice to clause </w:t>
      </w:r>
      <w:r w:rsidR="001947D8">
        <w:fldChar w:fldCharType="begin"/>
      </w:r>
      <w:r w:rsidR="001947D8">
        <w:instrText xml:space="preserve"> REF _Ref51769338 \r \h </w:instrText>
      </w:r>
      <w:r w:rsidR="001947D8">
        <w:fldChar w:fldCharType="separate"/>
      </w:r>
      <w:r w:rsidR="001947D8">
        <w:t>5.2</w:t>
      </w:r>
      <w:r w:rsidR="001947D8">
        <w:fldChar w:fldCharType="end"/>
      </w:r>
      <w:r w:rsidRPr="0047163B">
        <w:t>)</w:t>
      </w:r>
      <w:r>
        <w:t>:</w:t>
      </w:r>
      <w:r w:rsidRPr="0047163B">
        <w:t xml:space="preserve"> </w:t>
      </w:r>
    </w:p>
    <w:p w14:paraId="18F5E763" w14:textId="2FF4ACC9" w:rsidR="00470417" w:rsidRDefault="00470417" w:rsidP="001947D8">
      <w:pPr>
        <w:pStyle w:val="Heading3"/>
        <w:widowControl w:val="0"/>
      </w:pPr>
      <w:r>
        <w:t>sub-licence</w:t>
      </w:r>
      <w:r w:rsidRPr="0047163B">
        <w:t xml:space="preserve"> or permit the </w:t>
      </w:r>
      <w:r>
        <w:t>sub-licence</w:t>
      </w:r>
      <w:r w:rsidRPr="0047163B">
        <w:t xml:space="preserve"> directly or indirectly of the </w:t>
      </w:r>
      <w:r>
        <w:t>Software</w:t>
      </w:r>
      <w:r w:rsidRPr="0047163B">
        <w:t xml:space="preserve"> or any part to any third party</w:t>
      </w:r>
      <w:r w:rsidR="00700EDE">
        <w:t xml:space="preserve"> </w:t>
      </w:r>
      <w:r w:rsidRPr="0047163B">
        <w:t xml:space="preserve">or otherwise receive or make use of the </w:t>
      </w:r>
      <w:r w:rsidR="00700EDE">
        <w:t>Software</w:t>
      </w:r>
      <w:r>
        <w:t xml:space="preserve"> directly or indirectly without the prior written consent of </w:t>
      </w:r>
      <w:r w:rsidR="00700EDE">
        <w:t>LGfL</w:t>
      </w:r>
      <w:r>
        <w:t xml:space="preserve">; </w:t>
      </w:r>
    </w:p>
    <w:p w14:paraId="2CBA7BDC" w14:textId="77777777" w:rsidR="00470417" w:rsidRDefault="00470417" w:rsidP="00470417">
      <w:pPr>
        <w:pStyle w:val="Heading3"/>
      </w:pPr>
      <w:r w:rsidRPr="00E43A3D">
        <w:t>resell, distribute, sublicense, or otherwise transfer the Software</w:t>
      </w:r>
      <w:r>
        <w:t xml:space="preserve"> to any other person;</w:t>
      </w:r>
    </w:p>
    <w:p w14:paraId="092E77EC" w14:textId="77777777" w:rsidR="00470417" w:rsidRDefault="00470417" w:rsidP="00EA7F46">
      <w:pPr>
        <w:pStyle w:val="Heading3"/>
        <w:widowControl w:val="0"/>
      </w:pPr>
      <w:r w:rsidRPr="006C34F2">
        <w:t xml:space="preserve">disassemble, decompile or reverse engineer the Software, or permit any </w:t>
      </w:r>
      <w:r>
        <w:t>person</w:t>
      </w:r>
      <w:r w:rsidRPr="006C34F2">
        <w:t xml:space="preserve"> to do so, except, and solely to the extent, </w:t>
      </w:r>
      <w:r>
        <w:t>permitted by</w:t>
      </w:r>
      <w:r w:rsidRPr="006C34F2">
        <w:t xml:space="preserve"> applicable local law</w:t>
      </w:r>
      <w:r>
        <w:t>; or</w:t>
      </w:r>
    </w:p>
    <w:p w14:paraId="56BB59C5" w14:textId="0523A5B7" w:rsidR="00470417" w:rsidRDefault="00470417" w:rsidP="00470417">
      <w:pPr>
        <w:pStyle w:val="Heading3"/>
      </w:pPr>
      <w:r>
        <w:t>e</w:t>
      </w:r>
      <w:r w:rsidRPr="00E24E43">
        <w:t>xcept as expressly authori</w:t>
      </w:r>
      <w:r>
        <w:t>s</w:t>
      </w:r>
      <w:r w:rsidRPr="00E24E43">
        <w:t>ed by this Agreement,</w:t>
      </w:r>
      <w:r>
        <w:t xml:space="preserve"> </w:t>
      </w:r>
      <w:r w:rsidRPr="00E24E43">
        <w:t>(</w:t>
      </w:r>
      <w:r>
        <w:t>a</w:t>
      </w:r>
      <w:r w:rsidRPr="00E24E43">
        <w:t>) copy or reproduce the Software, in whole or in part; (</w:t>
      </w:r>
      <w:r>
        <w:t>b</w:t>
      </w:r>
      <w:r w:rsidRPr="00E24E43">
        <w:t>) modify the Software; or (</w:t>
      </w:r>
      <w:r>
        <w:t>c</w:t>
      </w:r>
      <w:r w:rsidRPr="00E24E43">
        <w:t>) provide the Software or make its functionality available to third parties as an application services provider or service bureau, or by hosting, time sharing or providing any other type of services</w:t>
      </w:r>
      <w:r>
        <w:t>.</w:t>
      </w:r>
      <w:bookmarkEnd w:id="14"/>
      <w:r>
        <w:t xml:space="preserve"> </w:t>
      </w:r>
    </w:p>
    <w:p w14:paraId="43990F9C" w14:textId="4BE0F397" w:rsidR="004A31B7" w:rsidRDefault="004A31B7" w:rsidP="004A31B7">
      <w:pPr>
        <w:pStyle w:val="Heading2"/>
        <w:widowControl w:val="0"/>
      </w:pPr>
      <w:r>
        <w:t xml:space="preserve">The Customer </w:t>
      </w:r>
      <w:r w:rsidR="00C534AF">
        <w:t xml:space="preserve">accepts and agrees that </w:t>
      </w:r>
      <w:r>
        <w:t xml:space="preserve">LGfL or its licensors </w:t>
      </w:r>
      <w:r w:rsidR="00C534AF">
        <w:t xml:space="preserve">may </w:t>
      </w:r>
      <w:r w:rsidR="006E02EB">
        <w:t xml:space="preserve">periodically </w:t>
      </w:r>
      <w:r w:rsidR="007D13B7">
        <w:t>send notifications</w:t>
      </w:r>
      <w:r w:rsidR="00DE4016">
        <w:t xml:space="preserve"> </w:t>
      </w:r>
      <w:r w:rsidR="006E02EB">
        <w:t xml:space="preserve">to the Customer in the form </w:t>
      </w:r>
      <w:r>
        <w:t>of pop-ups, banners, charts, graphics, texts, images</w:t>
      </w:r>
      <w:r w:rsidR="00C534AF">
        <w:t xml:space="preserve"> </w:t>
      </w:r>
      <w:r>
        <w:t xml:space="preserve">or other messages </w:t>
      </w:r>
      <w:r w:rsidR="006E02EB">
        <w:t>displayed by the Software</w:t>
      </w:r>
      <w:r w:rsidR="00DE4016">
        <w:t>, provided that the Customer may disable such notifications in the computer settings.</w:t>
      </w:r>
    </w:p>
    <w:p w14:paraId="0FEDBC87" w14:textId="4728ED31" w:rsidR="005232CA" w:rsidRPr="005232CA" w:rsidRDefault="005232CA" w:rsidP="005232CA">
      <w:pPr>
        <w:pStyle w:val="Heading2"/>
        <w:widowControl w:val="0"/>
        <w:numPr>
          <w:ilvl w:val="0"/>
          <w:numId w:val="0"/>
        </w:numPr>
        <w:ind w:left="360"/>
        <w:rPr>
          <w:b/>
          <w:bCs/>
        </w:rPr>
      </w:pPr>
      <w:r w:rsidRPr="005232CA">
        <w:rPr>
          <w:b/>
          <w:bCs/>
        </w:rPr>
        <w:t>Trial Software</w:t>
      </w:r>
    </w:p>
    <w:p w14:paraId="448A073C" w14:textId="5A72D43C" w:rsidR="003F30E6" w:rsidRDefault="003F30E6" w:rsidP="003F30E6">
      <w:pPr>
        <w:pStyle w:val="Heading2"/>
      </w:pPr>
      <w:r>
        <w:t xml:space="preserve">If the Software is provided to the Customer for evaluation, the Customer’s licence pursuant to clause </w:t>
      </w:r>
      <w:r>
        <w:fldChar w:fldCharType="begin"/>
      </w:r>
      <w:r>
        <w:instrText xml:space="preserve"> REF _Ref42156592 \r \h </w:instrText>
      </w:r>
      <w:r>
        <w:fldChar w:fldCharType="separate"/>
      </w:r>
      <w:r w:rsidR="00831EAE">
        <w:t>5.1</w:t>
      </w:r>
      <w:r>
        <w:fldChar w:fldCharType="end"/>
      </w:r>
      <w:r>
        <w:t xml:space="preserve"> is limited to the Trial Period.  </w:t>
      </w:r>
    </w:p>
    <w:p w14:paraId="7E446B83" w14:textId="423D036A" w:rsidR="003F30E6" w:rsidRDefault="003F30E6" w:rsidP="003F30E6">
      <w:pPr>
        <w:pStyle w:val="Heading2"/>
      </w:pPr>
      <w:r>
        <w:t xml:space="preserve">The Customer accepts that Software provided for evaluation </w:t>
      </w:r>
      <w:r w:rsidR="008D3A30">
        <w:t>may be</w:t>
      </w:r>
      <w:r>
        <w:t xml:space="preserve"> supplied without support and may cease to function at the end of the Trial Period.</w:t>
      </w:r>
    </w:p>
    <w:p w14:paraId="21DD7987" w14:textId="77777777" w:rsidR="003F30E6" w:rsidRDefault="003F30E6" w:rsidP="003F30E6">
      <w:pPr>
        <w:pStyle w:val="Heading2"/>
      </w:pPr>
      <w:bookmarkStart w:id="15" w:name="_Ref51770488"/>
      <w:r>
        <w:t>The Customer may terminate this Agreement at any time during the Trial Period by written notice to LGfL, in which case its licence to use the Software shall automatically cease.</w:t>
      </w:r>
      <w:bookmarkEnd w:id="15"/>
    </w:p>
    <w:p w14:paraId="13E147BE" w14:textId="2295F27B" w:rsidR="003F30E6" w:rsidRDefault="005A78B9" w:rsidP="003F30E6">
      <w:pPr>
        <w:pStyle w:val="Heading2"/>
      </w:pPr>
      <w:r>
        <w:t>If the Customer</w:t>
      </w:r>
      <w:r w:rsidRPr="00E54196">
        <w:t xml:space="preserve"> </w:t>
      </w:r>
      <w:r>
        <w:t>does not terminate this Agreement and remove</w:t>
      </w:r>
      <w:r w:rsidRPr="00B849FD">
        <w:t xml:space="preserve"> the </w:t>
      </w:r>
      <w:r>
        <w:t>Software</w:t>
      </w:r>
      <w:r w:rsidRPr="00B849FD">
        <w:t xml:space="preserve"> from </w:t>
      </w:r>
      <w:r>
        <w:t>its</w:t>
      </w:r>
      <w:r w:rsidRPr="00B849FD">
        <w:t xml:space="preserve"> devices</w:t>
      </w:r>
      <w:r>
        <w:t xml:space="preserve"> at the end of the Trial Period the Agreement will automatically continue for the Term, and LGfL may invoice the Customer for the Price</w:t>
      </w:r>
      <w:r w:rsidR="003F30E6">
        <w:t>.</w:t>
      </w:r>
    </w:p>
    <w:p w14:paraId="5B7D147F" w14:textId="6AA4FF83" w:rsidR="005232CA" w:rsidRPr="005232CA" w:rsidRDefault="005232CA" w:rsidP="005232CA">
      <w:pPr>
        <w:pStyle w:val="Heading2"/>
        <w:numPr>
          <w:ilvl w:val="0"/>
          <w:numId w:val="0"/>
        </w:numPr>
        <w:ind w:left="360"/>
        <w:rPr>
          <w:b/>
          <w:bCs/>
        </w:rPr>
      </w:pPr>
      <w:r w:rsidRPr="005232CA">
        <w:rPr>
          <w:b/>
          <w:bCs/>
        </w:rPr>
        <w:t>Software Audits</w:t>
      </w:r>
    </w:p>
    <w:p w14:paraId="15588CF8" w14:textId="77777777" w:rsidR="005232CA" w:rsidRDefault="005232CA" w:rsidP="005232CA">
      <w:pPr>
        <w:pStyle w:val="Heading2"/>
      </w:pPr>
      <w:r>
        <w:t>The Customer acknowledges and accepts that LGfL may audit the Customer’s subscription periodically to verify the number of instances of the Software used.</w:t>
      </w:r>
    </w:p>
    <w:p w14:paraId="0124D2E6" w14:textId="77777777" w:rsidR="005232CA" w:rsidRDefault="005232CA" w:rsidP="005232CA">
      <w:pPr>
        <w:pStyle w:val="Heading2"/>
      </w:pPr>
      <w:r>
        <w:t>If an audit identifies that the Customer is using more instances of the Software than it has subscribed for, LGfL may send the Customer an invoice in respect of that additional use.</w:t>
      </w:r>
    </w:p>
    <w:p w14:paraId="1970BEE8" w14:textId="56EB4517" w:rsidR="005232CA" w:rsidRDefault="005232CA" w:rsidP="005232CA">
      <w:pPr>
        <w:pStyle w:val="Heading2"/>
      </w:pPr>
      <w:r>
        <w:t>The terms of this Agreement shall automatically apply to any additional instances of the Software used by the Customer.</w:t>
      </w:r>
    </w:p>
    <w:p w14:paraId="1AC670E7" w14:textId="4CB5B9D5" w:rsidR="005232CA" w:rsidRPr="005232CA" w:rsidRDefault="005232CA" w:rsidP="005232CA">
      <w:pPr>
        <w:pStyle w:val="Heading2"/>
        <w:numPr>
          <w:ilvl w:val="0"/>
          <w:numId w:val="0"/>
        </w:numPr>
        <w:ind w:left="360"/>
        <w:rPr>
          <w:b/>
          <w:bCs/>
        </w:rPr>
      </w:pPr>
      <w:r w:rsidRPr="005232CA">
        <w:rPr>
          <w:b/>
          <w:bCs/>
        </w:rPr>
        <w:t>Software Suspension</w:t>
      </w:r>
    </w:p>
    <w:p w14:paraId="12153A92" w14:textId="55C9DC7E" w:rsidR="0096420C" w:rsidRPr="003B717C" w:rsidRDefault="006E57D9" w:rsidP="00470417">
      <w:pPr>
        <w:pStyle w:val="Heading2"/>
      </w:pPr>
      <w:r>
        <w:t>LGfL</w:t>
      </w:r>
      <w:r w:rsidR="00470417">
        <w:t xml:space="preserve"> may suspend or limit </w:t>
      </w:r>
      <w:r>
        <w:t>use of the Soft</w:t>
      </w:r>
      <w:r w:rsidR="007D162A">
        <w:t>w</w:t>
      </w:r>
      <w:r>
        <w:t>are</w:t>
      </w:r>
      <w:r w:rsidR="00470417">
        <w:t xml:space="preserve"> (or any part) if </w:t>
      </w:r>
      <w:r>
        <w:t>it</w:t>
      </w:r>
      <w:r w:rsidR="00470417">
        <w:t xml:space="preserve"> reasonably suspects the </w:t>
      </w:r>
      <w:r w:rsidR="000628D2">
        <w:t>Customer</w:t>
      </w:r>
      <w:r w:rsidR="00470417">
        <w:t xml:space="preserve"> is in breach of</w:t>
      </w:r>
      <w:r>
        <w:t xml:space="preserve"> this clause </w:t>
      </w:r>
      <w:r>
        <w:fldChar w:fldCharType="begin"/>
      </w:r>
      <w:r>
        <w:instrText xml:space="preserve"> REF _Ref42157096 \r \h </w:instrText>
      </w:r>
      <w:r>
        <w:fldChar w:fldCharType="separate"/>
      </w:r>
      <w:r w:rsidR="00831EAE">
        <w:t>5</w:t>
      </w:r>
      <w:r>
        <w:fldChar w:fldCharType="end"/>
      </w:r>
      <w:r w:rsidR="00470417">
        <w:t xml:space="preserve"> or </w:t>
      </w:r>
      <w:r>
        <w:t>it</w:t>
      </w:r>
      <w:r w:rsidR="00470417">
        <w:t xml:space="preserve"> reasonably believe</w:t>
      </w:r>
      <w:r>
        <w:t>s</w:t>
      </w:r>
      <w:r w:rsidR="00470417">
        <w:t xml:space="preserve"> that </w:t>
      </w:r>
      <w:r w:rsidR="006F2EF6">
        <w:t xml:space="preserve">such </w:t>
      </w:r>
      <w:r w:rsidR="00470417">
        <w:t xml:space="preserve">suspension or limitation will prevent or usefully inhibit such an activity or risk, provided that any such suspension or limitation is: (a) reasonable and proportionate; (b) where practical, is imposed subject to advance notice being provided; (c) is of a duration limited to that necessary to prevent any illegal or immoral activity; and (d) informs the </w:t>
      </w:r>
      <w:r w:rsidR="000628D2">
        <w:t>Customer</w:t>
      </w:r>
      <w:r w:rsidR="00470417">
        <w:t xml:space="preserve"> of the action it is required to take to allow the restoration of the </w:t>
      </w:r>
      <w:r w:rsidR="009F7C87">
        <w:t>Software.</w:t>
      </w:r>
    </w:p>
    <w:p w14:paraId="124463A5" w14:textId="77777777" w:rsidR="004D0C5B" w:rsidRPr="00715DD4" w:rsidRDefault="004D0C5B" w:rsidP="004D0C5B">
      <w:pPr>
        <w:pStyle w:val="Heading1"/>
      </w:pPr>
      <w:bookmarkStart w:id="16" w:name="_Ref51839507"/>
      <w:r w:rsidRPr="00715DD4">
        <w:t>Payment</w:t>
      </w:r>
      <w:bookmarkEnd w:id="16"/>
    </w:p>
    <w:p w14:paraId="64AF6397" w14:textId="77777777" w:rsidR="004D0C5B" w:rsidRPr="00715DD4" w:rsidRDefault="004D0C5B" w:rsidP="004D0C5B">
      <w:pPr>
        <w:pStyle w:val="Heading2"/>
        <w:widowControl w:val="0"/>
      </w:pPr>
      <w:bookmarkStart w:id="17" w:name="_Ref478923357"/>
      <w:r>
        <w:t>The Customer</w:t>
      </w:r>
      <w:r w:rsidRPr="00715DD4">
        <w:t xml:space="preserve"> shall pay the </w:t>
      </w:r>
      <w:r>
        <w:t>Price</w:t>
      </w:r>
      <w:r w:rsidRPr="00715DD4">
        <w:t xml:space="preserve"> to </w:t>
      </w:r>
      <w:r>
        <w:t>LGfL</w:t>
      </w:r>
      <w:r w:rsidRPr="00715DD4">
        <w:t xml:space="preserve"> within 30 days of receipt of a valid invoice (</w:t>
      </w:r>
      <w:r w:rsidRPr="00715DD4">
        <w:rPr>
          <w:b/>
        </w:rPr>
        <w:t>"Due Date"</w:t>
      </w:r>
      <w:r w:rsidRPr="00715DD4">
        <w:t>).</w:t>
      </w:r>
      <w:bookmarkEnd w:id="17"/>
      <w:r w:rsidRPr="00715DD4">
        <w:t xml:space="preserve"> </w:t>
      </w:r>
    </w:p>
    <w:p w14:paraId="378C8FF7" w14:textId="3D271805" w:rsidR="004D0C5B" w:rsidRPr="00715DD4" w:rsidRDefault="004D0C5B" w:rsidP="004D0C5B">
      <w:pPr>
        <w:pStyle w:val="Heading2"/>
        <w:widowControl w:val="0"/>
      </w:pPr>
      <w:bookmarkStart w:id="18" w:name="_Ref478577172"/>
      <w:r>
        <w:t>LGfL</w:t>
      </w:r>
      <w:r w:rsidRPr="00715DD4">
        <w:t xml:space="preserve"> may require </w:t>
      </w:r>
      <w:r>
        <w:t>the Customer</w:t>
      </w:r>
      <w:r w:rsidRPr="00715DD4">
        <w:t xml:space="preserve"> to pay interest on any overdue amount at </w:t>
      </w:r>
      <w:r w:rsidR="00C635FF">
        <w:t>a</w:t>
      </w:r>
      <w:r w:rsidRPr="00715DD4">
        <w:t xml:space="preserve"> rate </w:t>
      </w:r>
      <w:r w:rsidR="00C635FF">
        <w:t>not exceeding that</w:t>
      </w:r>
      <w:r w:rsidR="004A2AD2">
        <w:t xml:space="preserve"> </w:t>
      </w:r>
      <w:r w:rsidRPr="00770597">
        <w:rPr>
          <w:szCs w:val="15"/>
        </w:rPr>
        <w:t xml:space="preserve">prescribed </w:t>
      </w:r>
      <w:r w:rsidR="004A2AD2">
        <w:rPr>
          <w:szCs w:val="15"/>
        </w:rPr>
        <w:t>periodically</w:t>
      </w:r>
      <w:r w:rsidRPr="00770597">
        <w:rPr>
          <w:szCs w:val="15"/>
        </w:rPr>
        <w:t xml:space="preserve"> under the Late Payment of Commercial Debts (Interest) Act 1998 </w:t>
      </w:r>
      <w:r w:rsidRPr="00715DD4">
        <w:t>from the Due Date until payment, such interest shall accrue on a daily basis both before and after judgment.</w:t>
      </w:r>
      <w:bookmarkEnd w:id="18"/>
    </w:p>
    <w:p w14:paraId="267BD717" w14:textId="77777777" w:rsidR="004D0C5B" w:rsidRDefault="004D0C5B" w:rsidP="00FC3D3E">
      <w:pPr>
        <w:pStyle w:val="Heading2"/>
        <w:ind w:left="357" w:hanging="357"/>
        <w:rPr>
          <w:szCs w:val="15"/>
        </w:rPr>
      </w:pPr>
      <w:r>
        <w:rPr>
          <w:szCs w:val="15"/>
        </w:rPr>
        <w:lastRenderedPageBreak/>
        <w:t>The Price is</w:t>
      </w:r>
      <w:r w:rsidRPr="00715DD4">
        <w:rPr>
          <w:szCs w:val="15"/>
        </w:rPr>
        <w:t xml:space="preserve"> exclusive of VAT which shall be added at the prevailing rate. </w:t>
      </w:r>
    </w:p>
    <w:p w14:paraId="77F75775" w14:textId="257A34FA" w:rsidR="004D0C5B" w:rsidRPr="00715DD4" w:rsidRDefault="004D0C5B" w:rsidP="004D0C5B">
      <w:pPr>
        <w:pStyle w:val="Heading2"/>
        <w:widowControl w:val="0"/>
        <w:rPr>
          <w:szCs w:val="15"/>
        </w:rPr>
      </w:pPr>
      <w:r>
        <w:rPr>
          <w:szCs w:val="15"/>
        </w:rPr>
        <w:t xml:space="preserve">All payments </w:t>
      </w:r>
      <w:r w:rsidR="003E0442">
        <w:rPr>
          <w:szCs w:val="15"/>
        </w:rPr>
        <w:t>payable</w:t>
      </w:r>
      <w:r>
        <w:rPr>
          <w:szCs w:val="15"/>
        </w:rPr>
        <w:t xml:space="preserve"> to LGfL by the Customer shall become immediately due and payable if the Customer becomes subject to an Insolvency Event.</w:t>
      </w:r>
    </w:p>
    <w:p w14:paraId="2D61748B" w14:textId="31CFE9C9" w:rsidR="004D0C5B" w:rsidRPr="004D0C5B" w:rsidRDefault="004D0C5B" w:rsidP="004D0C5B">
      <w:pPr>
        <w:pStyle w:val="Heading2"/>
        <w:widowControl w:val="0"/>
        <w:ind w:left="357" w:hanging="357"/>
        <w:rPr>
          <w:b/>
          <w:i/>
          <w:szCs w:val="15"/>
        </w:rPr>
      </w:pPr>
      <w:bookmarkStart w:id="19" w:name="_Ref39755025"/>
      <w:r>
        <w:rPr>
          <w:szCs w:val="22"/>
        </w:rPr>
        <w:t>LGfL</w:t>
      </w:r>
      <w:r w:rsidRPr="00715DD4">
        <w:rPr>
          <w:szCs w:val="22"/>
        </w:rPr>
        <w:t xml:space="preserve"> shall indemnify </w:t>
      </w:r>
      <w:r>
        <w:rPr>
          <w:szCs w:val="22"/>
        </w:rPr>
        <w:t>the Customer</w:t>
      </w:r>
      <w:r w:rsidRPr="00715DD4">
        <w:rPr>
          <w:szCs w:val="22"/>
        </w:rPr>
        <w:t xml:space="preserve"> without limit on a continuing basis against any liability, including interest, penalties or costs incurred, which is levied, demanded or assessed on </w:t>
      </w:r>
      <w:r>
        <w:rPr>
          <w:szCs w:val="22"/>
        </w:rPr>
        <w:t>the Customer</w:t>
      </w:r>
      <w:r w:rsidRPr="00715DD4">
        <w:rPr>
          <w:szCs w:val="22"/>
        </w:rPr>
        <w:t xml:space="preserve"> in respect of </w:t>
      </w:r>
      <w:r>
        <w:rPr>
          <w:szCs w:val="22"/>
        </w:rPr>
        <w:t>LGfL’s</w:t>
      </w:r>
      <w:r w:rsidRPr="00715DD4">
        <w:rPr>
          <w:szCs w:val="22"/>
        </w:rPr>
        <w:t xml:space="preserve"> failure to account for or pay any VAT relating to payments made to it under this Agreement.  Any amounts due under this clause </w:t>
      </w:r>
      <w:r w:rsidRPr="00715DD4">
        <w:rPr>
          <w:szCs w:val="22"/>
        </w:rPr>
        <w:fldChar w:fldCharType="begin"/>
      </w:r>
      <w:r w:rsidRPr="00715DD4">
        <w:rPr>
          <w:szCs w:val="22"/>
        </w:rPr>
        <w:instrText xml:space="preserve"> REF _Ref39755025 \r \h  \* MERGEFORMAT </w:instrText>
      </w:r>
      <w:r w:rsidRPr="00715DD4">
        <w:rPr>
          <w:szCs w:val="22"/>
        </w:rPr>
      </w:r>
      <w:r w:rsidRPr="00715DD4">
        <w:rPr>
          <w:szCs w:val="22"/>
        </w:rPr>
        <w:fldChar w:fldCharType="separate"/>
      </w:r>
      <w:r w:rsidR="00831EAE">
        <w:rPr>
          <w:szCs w:val="22"/>
        </w:rPr>
        <w:t>6.5</w:t>
      </w:r>
      <w:r w:rsidRPr="00715DD4">
        <w:rPr>
          <w:szCs w:val="22"/>
        </w:rPr>
        <w:fldChar w:fldCharType="end"/>
      </w:r>
      <w:r w:rsidRPr="00715DD4">
        <w:rPr>
          <w:szCs w:val="22"/>
        </w:rPr>
        <w:t xml:space="preserve"> shall be paid in cleared funds not less than 5 Working Days before the date on which the tax or other liability is payable by </w:t>
      </w:r>
      <w:r>
        <w:rPr>
          <w:szCs w:val="22"/>
        </w:rPr>
        <w:t>the Customer</w:t>
      </w:r>
      <w:r w:rsidRPr="00715DD4">
        <w:rPr>
          <w:szCs w:val="15"/>
        </w:rPr>
        <w:t>.</w:t>
      </w:r>
      <w:bookmarkEnd w:id="19"/>
    </w:p>
    <w:p w14:paraId="4EAA0B21" w14:textId="1A17761C" w:rsidR="00796073" w:rsidRDefault="00796073" w:rsidP="00796073">
      <w:pPr>
        <w:pStyle w:val="Heading1"/>
      </w:pPr>
      <w:r>
        <w:t>Intellectual Property</w:t>
      </w:r>
    </w:p>
    <w:p w14:paraId="3F8E9B96" w14:textId="64E97F4B" w:rsidR="002C0244" w:rsidRDefault="00D90178" w:rsidP="00796073">
      <w:pPr>
        <w:pStyle w:val="Heading2"/>
      </w:pPr>
      <w:bookmarkStart w:id="20" w:name="_Ref42158073"/>
      <w:bookmarkStart w:id="21" w:name="_Ref42159086"/>
      <w:r>
        <w:t xml:space="preserve">If </w:t>
      </w:r>
      <w:r w:rsidR="00013D0A">
        <w:t>it</w:t>
      </w:r>
      <w:r>
        <w:t xml:space="preserve"> agrees to supply any Software with the Mobile Devices,</w:t>
      </w:r>
      <w:r w:rsidR="00013D0A">
        <w:t xml:space="preserve"> LGfL hereby grant</w:t>
      </w:r>
      <w:r w:rsidR="00A74C7E">
        <w:t>s</w:t>
      </w:r>
      <w:r w:rsidR="00013D0A">
        <w:t xml:space="preserve"> the Customer a </w:t>
      </w:r>
      <w:r w:rsidR="00BD35B2" w:rsidRPr="00E0711B">
        <w:t>non-exclusive, non-transferable</w:t>
      </w:r>
      <w:r w:rsidR="00B906B4">
        <w:t xml:space="preserve"> licence</w:t>
      </w:r>
      <w:r w:rsidR="00BD35B2" w:rsidRPr="00E0711B">
        <w:t xml:space="preserve"> to use the </w:t>
      </w:r>
      <w:r w:rsidR="00BD35B2">
        <w:t>Software</w:t>
      </w:r>
      <w:bookmarkEnd w:id="20"/>
      <w:r w:rsidR="00C176CA">
        <w:t xml:space="preserve"> for the Term</w:t>
      </w:r>
      <w:r w:rsidR="00E51585">
        <w:t xml:space="preserve">, including the right </w:t>
      </w:r>
      <w:r w:rsidR="00E51585">
        <w:rPr>
          <w:szCs w:val="22"/>
        </w:rPr>
        <w:t>to load, execute, store, transmit, display and copy (for the purposes of loading, execution, storage transmission or display) the Software</w:t>
      </w:r>
      <w:r w:rsidR="00E30C60">
        <w:t>.</w:t>
      </w:r>
      <w:bookmarkEnd w:id="21"/>
    </w:p>
    <w:p w14:paraId="111ADF26" w14:textId="4D137023" w:rsidR="00796073" w:rsidRDefault="002C0244" w:rsidP="00796073">
      <w:pPr>
        <w:pStyle w:val="Heading2"/>
      </w:pPr>
      <w:r>
        <w:t xml:space="preserve">Without prejudice to clause </w:t>
      </w:r>
      <w:r>
        <w:fldChar w:fldCharType="begin"/>
      </w:r>
      <w:r>
        <w:instrText xml:space="preserve"> REF _Ref42158073 \r \h </w:instrText>
      </w:r>
      <w:r>
        <w:fldChar w:fldCharType="separate"/>
      </w:r>
      <w:r w:rsidR="00831EAE">
        <w:t>7.1</w:t>
      </w:r>
      <w:r>
        <w:fldChar w:fldCharType="end"/>
      </w:r>
      <w:r w:rsidR="00C4188E">
        <w:t>, the Customer shall not</w:t>
      </w:r>
      <w:r w:rsidR="00C4188E" w:rsidRPr="00866276">
        <w:t xml:space="preserve"> acquire</w:t>
      </w:r>
      <w:r w:rsidR="00C4188E">
        <w:t xml:space="preserve"> any right, title or interest in or to the Intellectual Property Rights </w:t>
      </w:r>
      <w:r w:rsidR="00E2467D">
        <w:t>subsisting within the Software</w:t>
      </w:r>
      <w:r w:rsidR="00B906B4">
        <w:t>.</w:t>
      </w:r>
    </w:p>
    <w:p w14:paraId="4A3C2AD7" w14:textId="418521A3" w:rsidR="00B906B4" w:rsidRDefault="00167A8D" w:rsidP="00796073">
      <w:pPr>
        <w:pStyle w:val="Heading2"/>
      </w:pPr>
      <w:bookmarkStart w:id="22" w:name="_Ref42158492"/>
      <w:r>
        <w:t>LGfL shall</w:t>
      </w:r>
      <w:r w:rsidR="004773E0">
        <w:t xml:space="preserve"> </w:t>
      </w:r>
      <w:r w:rsidR="008D5387" w:rsidRPr="00EA51FA">
        <w:t xml:space="preserve">indemnify and keep </w:t>
      </w:r>
      <w:r w:rsidR="008D5387">
        <w:t xml:space="preserve">the Customer </w:t>
      </w:r>
      <w:r w:rsidR="008D5387" w:rsidRPr="00EA51FA">
        <w:t xml:space="preserve">indemnified </w:t>
      </w:r>
      <w:r w:rsidR="004773E0" w:rsidRPr="00EA51FA">
        <w:t xml:space="preserve">on written demand </w:t>
      </w:r>
      <w:r w:rsidR="008D5387" w:rsidRPr="00EA51FA">
        <w:t xml:space="preserve">against </w:t>
      </w:r>
      <w:r w:rsidR="0085794A">
        <w:t>any</w:t>
      </w:r>
      <w:r w:rsidR="008D5387" w:rsidRPr="00EA51FA">
        <w:t xml:space="preserve"> liabilities (including legal fees) awarded against or arising from an IPR Claim</w:t>
      </w:r>
      <w:r w:rsidR="008D5387">
        <w:t>, provided that the Customer:</w:t>
      </w:r>
      <w:bookmarkEnd w:id="22"/>
    </w:p>
    <w:p w14:paraId="591B7B76" w14:textId="47DA2F50" w:rsidR="008D5387" w:rsidRDefault="00CE67ED" w:rsidP="008D5387">
      <w:pPr>
        <w:pStyle w:val="Heading3"/>
      </w:pPr>
      <w:r>
        <w:t xml:space="preserve">promptly </w:t>
      </w:r>
      <w:r w:rsidR="001008D1">
        <w:t>notifies</w:t>
      </w:r>
      <w:r w:rsidR="001008D1" w:rsidRPr="00EA51FA">
        <w:t xml:space="preserve"> </w:t>
      </w:r>
      <w:r w:rsidR="001008D1">
        <w:t>LGfL</w:t>
      </w:r>
      <w:r w:rsidR="001008D1" w:rsidRPr="00EA51FA">
        <w:t xml:space="preserve"> in writing of </w:t>
      </w:r>
      <w:r>
        <w:t>the</w:t>
      </w:r>
      <w:r w:rsidR="001008D1" w:rsidRPr="00EA51FA">
        <w:t xml:space="preserve"> IPR Claim</w:t>
      </w:r>
      <w:r w:rsidR="001008D1">
        <w:t>;</w:t>
      </w:r>
    </w:p>
    <w:p w14:paraId="2CD32950" w14:textId="0AEB53D4" w:rsidR="001008D1" w:rsidRDefault="0002373C" w:rsidP="008D5387">
      <w:pPr>
        <w:pStyle w:val="Heading3"/>
      </w:pPr>
      <w:r>
        <w:t>allows</w:t>
      </w:r>
      <w:r w:rsidRPr="00EA51FA">
        <w:t xml:space="preserve"> </w:t>
      </w:r>
      <w:r>
        <w:t>LGfL</w:t>
      </w:r>
      <w:r w:rsidRPr="00EA51FA">
        <w:t xml:space="preserve"> to conduct all negotiations and proceedings and will provide </w:t>
      </w:r>
      <w:r>
        <w:t>LGfL</w:t>
      </w:r>
      <w:r w:rsidRPr="00EA51FA">
        <w:t xml:space="preserve"> with </w:t>
      </w:r>
      <w:r w:rsidR="00DE2BD8">
        <w:t>the</w:t>
      </w:r>
      <w:r w:rsidRPr="00EA51FA">
        <w:t xml:space="preserve"> assistance required by </w:t>
      </w:r>
      <w:r>
        <w:t>LGfL</w:t>
      </w:r>
      <w:r w:rsidR="00DE2BD8">
        <w:t xml:space="preserve"> </w:t>
      </w:r>
      <w:r w:rsidRPr="00EA51FA">
        <w:t>with regard to the IPR Claim; and</w:t>
      </w:r>
    </w:p>
    <w:p w14:paraId="1C8D38BB" w14:textId="3187C21F" w:rsidR="0002373C" w:rsidRDefault="007A232E" w:rsidP="008D5387">
      <w:pPr>
        <w:pStyle w:val="Heading3"/>
      </w:pPr>
      <w:r>
        <w:t>does not</w:t>
      </w:r>
      <w:r w:rsidR="007229FB">
        <w:t xml:space="preserve"> </w:t>
      </w:r>
      <w:r>
        <w:t>make any admission relating to the IPR Claim</w:t>
      </w:r>
      <w:r w:rsidR="007229FB">
        <w:t xml:space="preserve"> without LGfL</w:t>
      </w:r>
      <w:r w:rsidR="00421B9C">
        <w:t>’s</w:t>
      </w:r>
      <w:r w:rsidR="007229FB">
        <w:t xml:space="preserve"> prior written consent</w:t>
      </w:r>
      <w:r>
        <w:t>.</w:t>
      </w:r>
    </w:p>
    <w:p w14:paraId="2E894F73" w14:textId="68C02898" w:rsidR="007A232E" w:rsidRDefault="008D0118" w:rsidP="007A232E">
      <w:pPr>
        <w:pStyle w:val="Heading2"/>
      </w:pPr>
      <w:bookmarkStart w:id="23" w:name="_Ref42158511"/>
      <w:r w:rsidRPr="00EA51FA">
        <w:t xml:space="preserve">If an IPR Claim is made, or </w:t>
      </w:r>
      <w:r>
        <w:t>LGfL</w:t>
      </w:r>
      <w:r w:rsidRPr="00EA51FA">
        <w:t xml:space="preserve"> anticipates an IPR Claim might be made, </w:t>
      </w:r>
      <w:r>
        <w:t>it</w:t>
      </w:r>
      <w:r w:rsidRPr="00EA51FA">
        <w:t xml:space="preserve"> </w:t>
      </w:r>
      <w:r w:rsidRPr="003A798D">
        <w:t>may</w:t>
      </w:r>
      <w:r>
        <w:t>:</w:t>
      </w:r>
      <w:bookmarkEnd w:id="23"/>
    </w:p>
    <w:p w14:paraId="2EE24C0D" w14:textId="4CCF429D" w:rsidR="008D0118" w:rsidRDefault="00832EDD" w:rsidP="008D0118">
      <w:pPr>
        <w:pStyle w:val="Heading3"/>
      </w:pPr>
      <w:r w:rsidRPr="00EA51FA">
        <w:t xml:space="preserve">procure the right </w:t>
      </w:r>
      <w:r w:rsidR="001F5405" w:rsidRPr="00EA51FA">
        <w:t xml:space="preserve">for </w:t>
      </w:r>
      <w:r w:rsidR="001F5405">
        <w:t>the Customer</w:t>
      </w:r>
      <w:r w:rsidR="001F5405" w:rsidRPr="00EA51FA">
        <w:t xml:space="preserve"> </w:t>
      </w:r>
      <w:r w:rsidRPr="00EA51FA">
        <w:t xml:space="preserve">to continue </w:t>
      </w:r>
      <w:r w:rsidR="001F5405">
        <w:t>to use</w:t>
      </w:r>
      <w:r w:rsidRPr="00EA51FA">
        <w:t xml:space="preserve"> the </w:t>
      </w:r>
      <w:r>
        <w:t>Software;</w:t>
      </w:r>
    </w:p>
    <w:p w14:paraId="01683E24" w14:textId="463B6F8E" w:rsidR="00832EDD" w:rsidRDefault="001D3138" w:rsidP="00577B3F">
      <w:pPr>
        <w:pStyle w:val="Heading3"/>
        <w:widowControl w:val="0"/>
      </w:pPr>
      <w:r w:rsidRPr="00EA51FA">
        <w:t>replace</w:t>
      </w:r>
      <w:r w:rsidRPr="003A798D">
        <w:t xml:space="preserve"> or modify the </w:t>
      </w:r>
      <w:r>
        <w:t>Software</w:t>
      </w:r>
      <w:r w:rsidRPr="003A798D">
        <w:t xml:space="preserve"> with non-infringing substitutes</w:t>
      </w:r>
      <w:r w:rsidR="0031506E">
        <w:t>;</w:t>
      </w:r>
      <w:r w:rsidR="008F6FCF">
        <w:t xml:space="preserve"> or</w:t>
      </w:r>
    </w:p>
    <w:p w14:paraId="4300CB1F" w14:textId="0DEA24C1" w:rsidR="008F6FCF" w:rsidRDefault="00180B86" w:rsidP="008D0118">
      <w:pPr>
        <w:pStyle w:val="Heading3"/>
      </w:pPr>
      <w:bookmarkStart w:id="24" w:name="_Ref42159613"/>
      <w:r>
        <w:t xml:space="preserve">terminate </w:t>
      </w:r>
      <w:r w:rsidR="00320638">
        <w:t xml:space="preserve">the licence in clause </w:t>
      </w:r>
      <w:r w:rsidR="00320638">
        <w:fldChar w:fldCharType="begin"/>
      </w:r>
      <w:r w:rsidR="00320638">
        <w:instrText xml:space="preserve"> REF _Ref42159086 \r \h </w:instrText>
      </w:r>
      <w:r w:rsidR="00320638">
        <w:fldChar w:fldCharType="separate"/>
      </w:r>
      <w:r w:rsidR="00831EAE">
        <w:t>7.1</w:t>
      </w:r>
      <w:r w:rsidR="00320638">
        <w:fldChar w:fldCharType="end"/>
      </w:r>
      <w:r>
        <w:t xml:space="preserve"> and </w:t>
      </w:r>
      <w:r w:rsidR="00B039E3">
        <w:t xml:space="preserve">reimburse the </w:t>
      </w:r>
      <w:r w:rsidR="004D0C5B">
        <w:t>Price pro rata.</w:t>
      </w:r>
      <w:bookmarkEnd w:id="24"/>
      <w:r w:rsidR="00B039E3">
        <w:t xml:space="preserve"> </w:t>
      </w:r>
    </w:p>
    <w:p w14:paraId="7A00990F" w14:textId="58122A31" w:rsidR="004C5708" w:rsidRDefault="004C5708" w:rsidP="004C5708">
      <w:pPr>
        <w:pStyle w:val="Heading2"/>
      </w:pPr>
      <w:r w:rsidRPr="00EA51FA">
        <w:t>The</w:t>
      </w:r>
      <w:r>
        <w:t xml:space="preserve"> provisions of clauses </w:t>
      </w:r>
      <w:r w:rsidR="00AF5821">
        <w:fldChar w:fldCharType="begin"/>
      </w:r>
      <w:r w:rsidR="00AF5821">
        <w:instrText xml:space="preserve"> REF _Ref42158492 \r \h </w:instrText>
      </w:r>
      <w:r w:rsidR="00AF5821">
        <w:fldChar w:fldCharType="separate"/>
      </w:r>
      <w:r w:rsidR="00831EAE">
        <w:t>7.3</w:t>
      </w:r>
      <w:r w:rsidR="00AF5821">
        <w:fldChar w:fldCharType="end"/>
      </w:r>
      <w:r w:rsidR="00AF5821">
        <w:t xml:space="preserve"> and </w:t>
      </w:r>
      <w:r w:rsidR="00AF5821">
        <w:fldChar w:fldCharType="begin"/>
      </w:r>
      <w:r w:rsidR="00AF5821">
        <w:instrText xml:space="preserve"> REF _Ref42158511 \r \h </w:instrText>
      </w:r>
      <w:r w:rsidR="00AF5821">
        <w:fldChar w:fldCharType="separate"/>
      </w:r>
      <w:r w:rsidR="00831EAE">
        <w:t>7.4</w:t>
      </w:r>
      <w:r w:rsidR="00AF5821">
        <w:fldChar w:fldCharType="end"/>
      </w:r>
      <w:r>
        <w:t xml:space="preserve"> shall not apply in respect of any IPR Claim caused by</w:t>
      </w:r>
      <w:r w:rsidR="00197D4B">
        <w:t>:</w:t>
      </w:r>
    </w:p>
    <w:p w14:paraId="3D7D63F6" w14:textId="764F79CF" w:rsidR="00197D4B" w:rsidRDefault="00A450B5" w:rsidP="00197D4B">
      <w:pPr>
        <w:pStyle w:val="Heading3"/>
      </w:pPr>
      <w:r>
        <w:t>the</w:t>
      </w:r>
      <w:r w:rsidR="00197D4B">
        <w:t xml:space="preserve"> use by or on behalf of the Customer of the Software in combination with any item not supplied </w:t>
      </w:r>
      <w:r>
        <w:t>by LGfL</w:t>
      </w:r>
      <w:r w:rsidR="00197D4B">
        <w:t>; or</w:t>
      </w:r>
    </w:p>
    <w:p w14:paraId="70536DF7" w14:textId="7773C663" w:rsidR="00347CDC" w:rsidRPr="00715DD4" w:rsidRDefault="00C93B01" w:rsidP="00197D4B">
      <w:pPr>
        <w:pStyle w:val="Heading3"/>
      </w:pPr>
      <w:r>
        <w:t xml:space="preserve">the use by or on behalf of the Customer of the Software in a manner not reasonably anticipated by this </w:t>
      </w:r>
      <w:r w:rsidR="00A450B5">
        <w:t>Agreement.</w:t>
      </w:r>
    </w:p>
    <w:p w14:paraId="74590373" w14:textId="77777777" w:rsidR="00E533E8" w:rsidRPr="00715DD4" w:rsidRDefault="00E533E8" w:rsidP="00CD5F59">
      <w:pPr>
        <w:pStyle w:val="Heading1"/>
        <w:keepNext/>
      </w:pPr>
      <w:bookmarkStart w:id="25" w:name="_Ref478576966"/>
      <w:r w:rsidRPr="00715DD4">
        <w:t>Confidentiality</w:t>
      </w:r>
      <w:bookmarkEnd w:id="25"/>
    </w:p>
    <w:p w14:paraId="15E64D10" w14:textId="77777777" w:rsidR="00E533E8" w:rsidRPr="00715DD4" w:rsidRDefault="00E533E8" w:rsidP="00CD5F59">
      <w:pPr>
        <w:pStyle w:val="Heading2"/>
        <w:widowControl w:val="0"/>
        <w:ind w:left="357" w:hanging="357"/>
      </w:pPr>
      <w:r w:rsidRPr="00715DD4">
        <w:t>Except as permitted by this Agreement, neither party may use any of the other party's Confidential Information.</w:t>
      </w:r>
    </w:p>
    <w:p w14:paraId="3F272313" w14:textId="5A787909" w:rsidR="00E533E8" w:rsidRPr="00715DD4" w:rsidRDefault="00E533E8" w:rsidP="00814590">
      <w:pPr>
        <w:pStyle w:val="Heading2"/>
        <w:widowControl w:val="0"/>
      </w:pPr>
      <w:r w:rsidRPr="00715DD4">
        <w:t xml:space="preserve">Subject to clause </w:t>
      </w:r>
      <w:r w:rsidRPr="00715DD4">
        <w:fldChar w:fldCharType="begin"/>
      </w:r>
      <w:r w:rsidRPr="00715DD4">
        <w:instrText xml:space="preserve"> REF _Ref478577437 \r \h </w:instrText>
      </w:r>
      <w:r w:rsidR="00BF3BC2" w:rsidRPr="00715DD4">
        <w:instrText xml:space="preserve"> \* MERGEFORMAT </w:instrText>
      </w:r>
      <w:r w:rsidRPr="00715DD4">
        <w:fldChar w:fldCharType="separate"/>
      </w:r>
      <w:r w:rsidR="00831EAE">
        <w:t>8.3</w:t>
      </w:r>
      <w:r w:rsidRPr="00715DD4">
        <w:fldChar w:fldCharType="end"/>
      </w:r>
      <w:r w:rsidRPr="00715DD4">
        <w:t>, neither party may disclose to any other person any of the other party's Confidential Information.</w:t>
      </w:r>
    </w:p>
    <w:p w14:paraId="5B795596" w14:textId="77777777" w:rsidR="00E533E8" w:rsidRPr="00715DD4" w:rsidRDefault="00E533E8" w:rsidP="00814590">
      <w:pPr>
        <w:pStyle w:val="Heading2"/>
        <w:widowControl w:val="0"/>
      </w:pPr>
      <w:bookmarkStart w:id="26" w:name="_Ref478577437"/>
      <w:r w:rsidRPr="00715DD4">
        <w:t>Either party may disclose the Confidential Information of the other:</w:t>
      </w:r>
      <w:bookmarkEnd w:id="26"/>
    </w:p>
    <w:p w14:paraId="6B652F4C" w14:textId="77777777" w:rsidR="00783104" w:rsidRPr="00715DD4" w:rsidRDefault="00783104" w:rsidP="00814590">
      <w:pPr>
        <w:pStyle w:val="Heading3"/>
        <w:widowControl w:val="0"/>
      </w:pPr>
      <w:r w:rsidRPr="00715DD4">
        <w:t>to its Personnel or any person whose duties reasonably require such disclosure, on condition that the party making the disclosure ensures that each such person to whom such disclosure is made: (a) is informed of the obligations of confidentiality under this Agreement; and (b) complies with those obligations as if they were bound by them; and</w:t>
      </w:r>
    </w:p>
    <w:p w14:paraId="05FE9478" w14:textId="196BCA64" w:rsidR="00E533E8" w:rsidRPr="00715DD4" w:rsidRDefault="00E533E8" w:rsidP="00574285">
      <w:pPr>
        <w:pStyle w:val="Heading3"/>
      </w:pPr>
      <w:r w:rsidRPr="00715DD4">
        <w:t xml:space="preserve">when required to do so by </w:t>
      </w:r>
      <w:r w:rsidR="008C0273" w:rsidRPr="00715DD4">
        <w:t>Applicable Law</w:t>
      </w:r>
      <w:r w:rsidRPr="00715DD4">
        <w:t xml:space="preserve"> or any regulatory authority, provided that where practicable and </w:t>
      </w:r>
      <w:r w:rsidRPr="00715DD4">
        <w:t xml:space="preserve">lawful, the disclosing party: (a) promptly notifies the other of </w:t>
      </w:r>
      <w:r w:rsidR="00C55217" w:rsidRPr="00715DD4">
        <w:t>the</w:t>
      </w:r>
      <w:r w:rsidRPr="00715DD4">
        <w:t xml:space="preserve"> requirement; and (b) co-operates with the owner of the Confidential Information regarding the manner, scope or timing of </w:t>
      </w:r>
      <w:r w:rsidR="00C55217" w:rsidRPr="00715DD4">
        <w:t>the</w:t>
      </w:r>
      <w:r w:rsidRPr="00715DD4">
        <w:t xml:space="preserve"> disclosure or any action that the owner may take to challenge the validity of </w:t>
      </w:r>
      <w:r w:rsidR="00C55217" w:rsidRPr="00715DD4">
        <w:t>the</w:t>
      </w:r>
      <w:r w:rsidRPr="00715DD4">
        <w:t xml:space="preserve"> requirement</w:t>
      </w:r>
      <w:r w:rsidR="00783104" w:rsidRPr="00715DD4">
        <w:t>.</w:t>
      </w:r>
    </w:p>
    <w:p w14:paraId="129275C5" w14:textId="4B65A370" w:rsidR="00E533E8" w:rsidRPr="00715DD4" w:rsidRDefault="00E533E8" w:rsidP="00427EAE">
      <w:pPr>
        <w:pStyle w:val="Heading1"/>
      </w:pPr>
      <w:bookmarkStart w:id="27" w:name="_Ref505942274"/>
      <w:r w:rsidRPr="00715DD4">
        <w:t>Data Protection</w:t>
      </w:r>
      <w:bookmarkEnd w:id="27"/>
      <w:r w:rsidRPr="00715DD4">
        <w:t xml:space="preserve"> </w:t>
      </w:r>
    </w:p>
    <w:p w14:paraId="17BCC68F" w14:textId="683518B2" w:rsidR="00E533E8" w:rsidRPr="00B1345D" w:rsidRDefault="00583160" w:rsidP="00617F36">
      <w:pPr>
        <w:pStyle w:val="Heading2"/>
        <w:widowControl w:val="0"/>
        <w:ind w:left="357" w:hanging="357"/>
      </w:pPr>
      <w:r>
        <w:rPr>
          <w:color w:val="000000"/>
          <w:szCs w:val="22"/>
        </w:rPr>
        <w:t>A</w:t>
      </w:r>
      <w:r w:rsidRPr="00715DD4">
        <w:rPr>
          <w:color w:val="000000"/>
          <w:szCs w:val="22"/>
        </w:rPr>
        <w:t xml:space="preserve">ny Personal Data processed in the performance of </w:t>
      </w:r>
      <w:r w:rsidR="00155D1D">
        <w:rPr>
          <w:color w:val="000000"/>
          <w:szCs w:val="22"/>
        </w:rPr>
        <w:t>this Agreement</w:t>
      </w:r>
      <w:r>
        <w:rPr>
          <w:color w:val="000000"/>
          <w:szCs w:val="22"/>
        </w:rPr>
        <w:t xml:space="preserve"> shall be limited to business contact data, for which e</w:t>
      </w:r>
      <w:r w:rsidR="0078365B">
        <w:rPr>
          <w:color w:val="000000"/>
          <w:szCs w:val="22"/>
        </w:rPr>
        <w:t>ach party shall be an independent</w:t>
      </w:r>
      <w:r w:rsidR="00520FB7" w:rsidRPr="00715DD4">
        <w:rPr>
          <w:color w:val="000000"/>
          <w:szCs w:val="22"/>
        </w:rPr>
        <w:t xml:space="preserve"> Controller</w:t>
      </w:r>
      <w:r w:rsidR="00B1345D">
        <w:rPr>
          <w:color w:val="000000"/>
          <w:szCs w:val="22"/>
        </w:rPr>
        <w:t>.</w:t>
      </w:r>
    </w:p>
    <w:p w14:paraId="2532F2E9" w14:textId="1C9F279C" w:rsidR="00B1345D" w:rsidRDefault="00B1345D" w:rsidP="0007742E">
      <w:pPr>
        <w:pStyle w:val="Heading2"/>
        <w:keepNext/>
      </w:pPr>
      <w:r>
        <w:rPr>
          <w:color w:val="000000"/>
          <w:szCs w:val="22"/>
        </w:rPr>
        <w:t xml:space="preserve">If it is subsequently determined that </w:t>
      </w:r>
      <w:r w:rsidR="00992B99">
        <w:rPr>
          <w:color w:val="000000"/>
          <w:szCs w:val="22"/>
        </w:rPr>
        <w:t xml:space="preserve">a relationship of Controller and Processor exists, the parties shall </w:t>
      </w:r>
      <w:r w:rsidR="00036B37">
        <w:rPr>
          <w:color w:val="000000"/>
          <w:szCs w:val="22"/>
        </w:rPr>
        <w:t xml:space="preserve">promptly </w:t>
      </w:r>
      <w:r w:rsidR="00516CCB" w:rsidRPr="003B0CBF">
        <w:t xml:space="preserve">implement </w:t>
      </w:r>
      <w:r w:rsidR="00BA170A">
        <w:t xml:space="preserve">such </w:t>
      </w:r>
      <w:r w:rsidR="00516CCB" w:rsidRPr="003B0CBF">
        <w:t xml:space="preserve">additional provisions </w:t>
      </w:r>
      <w:r w:rsidR="00BA170A">
        <w:t>as</w:t>
      </w:r>
      <w:r w:rsidR="00516CCB" w:rsidRPr="003B0CBF">
        <w:t xml:space="preserve"> are necessary to comply with GDPR </w:t>
      </w:r>
      <w:hyperlink r:id="rId11" w:anchor="d1e3150-1-1" w:history="1">
        <w:r w:rsidR="00516CCB" w:rsidRPr="0094282E">
          <w:rPr>
            <w:rStyle w:val="Hyperlink"/>
          </w:rPr>
          <w:t>Article 28</w:t>
        </w:r>
      </w:hyperlink>
      <w:r w:rsidR="00516CCB" w:rsidRPr="003B0CBF">
        <w:t xml:space="preserve"> based substantially on the terms set out in the Crown Commercial Services </w:t>
      </w:r>
      <w:hyperlink r:id="rId12" w:history="1">
        <w:r w:rsidR="00516CCB" w:rsidRPr="00147442">
          <w:rPr>
            <w:rStyle w:val="Hyperlink"/>
          </w:rPr>
          <w:t>Procurement Policy Note 02/18</w:t>
        </w:r>
      </w:hyperlink>
      <w:r w:rsidR="00516CCB" w:rsidRPr="003B0CBF">
        <w:t xml:space="preserve"> as revised </w:t>
      </w:r>
      <w:r w:rsidR="00BD41FC">
        <w:t>periodically</w:t>
      </w:r>
      <w:r w:rsidR="00516CCB">
        <w:t>.</w:t>
      </w:r>
    </w:p>
    <w:p w14:paraId="29185BE8" w14:textId="77777777" w:rsidR="00C00F84" w:rsidRDefault="00B72F18" w:rsidP="0007742E">
      <w:pPr>
        <w:pStyle w:val="Heading2"/>
        <w:keepNext/>
      </w:pPr>
      <w:r>
        <w:t>E</w:t>
      </w:r>
      <w:r w:rsidRPr="00794E67">
        <w:t xml:space="preserve">ach </w:t>
      </w:r>
      <w:r>
        <w:t>p</w:t>
      </w:r>
      <w:r w:rsidRPr="00794E67">
        <w:t>arty</w:t>
      </w:r>
      <w:r w:rsidR="00C00F84">
        <w:t>:</w:t>
      </w:r>
    </w:p>
    <w:p w14:paraId="36E03EC5" w14:textId="14000161" w:rsidR="00F46171" w:rsidRDefault="00B72F18" w:rsidP="005D7EC9">
      <w:pPr>
        <w:pStyle w:val="Heading3"/>
      </w:pPr>
      <w:r>
        <w:t xml:space="preserve">hereby </w:t>
      </w:r>
      <w:r w:rsidRPr="00794E67">
        <w:t xml:space="preserve">undertakes to comply with </w:t>
      </w:r>
      <w:r w:rsidR="009E6491">
        <w:t>its obligations as a Controller</w:t>
      </w:r>
      <w:r w:rsidR="00062770">
        <w:t xml:space="preserve"> </w:t>
      </w:r>
      <w:r w:rsidRPr="00794E67">
        <w:t xml:space="preserve">in respect of </w:t>
      </w:r>
      <w:r>
        <w:t>its</w:t>
      </w:r>
      <w:r w:rsidRPr="00794E67">
        <w:t xml:space="preserve"> processing </w:t>
      </w:r>
      <w:r w:rsidR="00062770">
        <w:t>of Personal Data</w:t>
      </w:r>
      <w:r w:rsidR="008F340B">
        <w:t>;</w:t>
      </w:r>
      <w:r w:rsidR="00062770">
        <w:t xml:space="preserve"> </w:t>
      </w:r>
    </w:p>
    <w:p w14:paraId="30C11198" w14:textId="77777777" w:rsidR="000D7379" w:rsidRDefault="00107F97" w:rsidP="00C00F84">
      <w:pPr>
        <w:pStyle w:val="Heading3"/>
      </w:pPr>
      <w:r>
        <w:t>shall only provide Personal Data to the other to the extent necessary to perform their respective obligations under this Agreement</w:t>
      </w:r>
      <w:r w:rsidR="005E232F">
        <w:t xml:space="preserve"> and in accordance with the Data Protection </w:t>
      </w:r>
      <w:r w:rsidR="008F340B">
        <w:t>Legislation, including by ensuring all required fair processing inf</w:t>
      </w:r>
      <w:r w:rsidR="009733D4">
        <w:t>ormation has been given to any relevant Data Subject;</w:t>
      </w:r>
      <w:r w:rsidR="005D7EC9">
        <w:t xml:space="preserve"> </w:t>
      </w:r>
    </w:p>
    <w:p w14:paraId="7A3C125D" w14:textId="45A74CCA" w:rsidR="0008431D" w:rsidRDefault="003831D4" w:rsidP="00C00F84">
      <w:pPr>
        <w:pStyle w:val="Heading3"/>
      </w:pPr>
      <w:r>
        <w:t xml:space="preserve">shall </w:t>
      </w:r>
      <w:r w:rsidR="005D3183">
        <w:t>co-operate</w:t>
      </w:r>
      <w:r w:rsidR="00A57982">
        <w:t xml:space="preserve"> </w:t>
      </w:r>
      <w:r w:rsidR="005D3183">
        <w:t xml:space="preserve">with </w:t>
      </w:r>
      <w:r>
        <w:t>the</w:t>
      </w:r>
      <w:r w:rsidR="005D3183">
        <w:t xml:space="preserve"> other in </w:t>
      </w:r>
      <w:r w:rsidR="00A57982">
        <w:t xml:space="preserve">a timely manner in </w:t>
      </w:r>
      <w:r>
        <w:t>response</w:t>
      </w:r>
      <w:r w:rsidR="005D3183">
        <w:t xml:space="preserve"> to a request</w:t>
      </w:r>
      <w:r w:rsidR="007A5616">
        <w:t xml:space="preserve"> from a Data Subject relating to that person’s rights under the Data Protection Legislation, including by </w:t>
      </w:r>
      <w:r w:rsidR="00173B13">
        <w:t>providing information</w:t>
      </w:r>
      <w:r w:rsidR="00A57982">
        <w:t xml:space="preserve"> or assistance as appropriate; </w:t>
      </w:r>
    </w:p>
    <w:p w14:paraId="3C50C9AC" w14:textId="5901B85F" w:rsidR="00A57982" w:rsidRDefault="00A57982" w:rsidP="00C00F84">
      <w:pPr>
        <w:pStyle w:val="Heading3"/>
      </w:pPr>
      <w:r>
        <w:t xml:space="preserve">shall </w:t>
      </w:r>
      <w:r w:rsidR="008A7DD6">
        <w:t xml:space="preserve">promptly notify the other on becoming aware of a Personal Data Breach relating to Personal Data provided by the other party, including </w:t>
      </w:r>
      <w:r w:rsidR="00E758C2">
        <w:t>co-operating in timely manner in the provision of information or assistance as appropriate; and</w:t>
      </w:r>
    </w:p>
    <w:p w14:paraId="7DDB8727" w14:textId="79B0565C" w:rsidR="00661E0C" w:rsidRPr="00715DD4" w:rsidRDefault="005D7EC9" w:rsidP="00E758C2">
      <w:pPr>
        <w:pStyle w:val="Heading3"/>
      </w:pPr>
      <w:r>
        <w:t>shall not do anything to cause the other party to be in breach of the Data Protection Legislation.</w:t>
      </w:r>
    </w:p>
    <w:p w14:paraId="627CC8E0" w14:textId="0F1E19C7" w:rsidR="00520FB7" w:rsidRPr="00715DD4" w:rsidRDefault="00520FB7" w:rsidP="00427EAE">
      <w:pPr>
        <w:pStyle w:val="Heading1"/>
      </w:pPr>
      <w:r w:rsidRPr="00715DD4">
        <w:t>Freedom of Information</w:t>
      </w:r>
    </w:p>
    <w:p w14:paraId="401A1412" w14:textId="3ED95F0D" w:rsidR="00E533E8" w:rsidRPr="00715DD4" w:rsidRDefault="00E533E8" w:rsidP="00814590">
      <w:pPr>
        <w:pStyle w:val="Heading2"/>
        <w:widowControl w:val="0"/>
      </w:pPr>
      <w:r w:rsidRPr="00715DD4">
        <w:t xml:space="preserve">If requested, </w:t>
      </w:r>
      <w:r w:rsidR="0055391B">
        <w:t>LGfL</w:t>
      </w:r>
      <w:r w:rsidRPr="00715DD4">
        <w:t xml:space="preserve"> shall provide such assistance as </w:t>
      </w:r>
      <w:r w:rsidR="0055391B">
        <w:t>the Customer</w:t>
      </w:r>
      <w:r w:rsidRPr="00715DD4">
        <w:t xml:space="preserve"> may reasonably require in responding to requests for information under the Freedom of Information Act 2000 or the Environmental Information Regulations 2004 (together the </w:t>
      </w:r>
      <w:r w:rsidRPr="00715DD4">
        <w:rPr>
          <w:b/>
        </w:rPr>
        <w:t>"Information Regulations"</w:t>
      </w:r>
      <w:r w:rsidRPr="00715DD4">
        <w:t xml:space="preserve">) in relation to </w:t>
      </w:r>
      <w:r w:rsidR="00587C96" w:rsidRPr="00715DD4">
        <w:t>this</w:t>
      </w:r>
      <w:r w:rsidRPr="00715DD4">
        <w:t xml:space="preserve"> Agreement or its subject matter (</w:t>
      </w:r>
      <w:r w:rsidRPr="00715DD4">
        <w:rPr>
          <w:b/>
        </w:rPr>
        <w:t>"</w:t>
      </w:r>
      <w:r w:rsidR="00F811F1" w:rsidRPr="00715DD4">
        <w:rPr>
          <w:b/>
        </w:rPr>
        <w:t>Information</w:t>
      </w:r>
      <w:r w:rsidRPr="00715DD4">
        <w:rPr>
          <w:b/>
        </w:rPr>
        <w:t xml:space="preserve"> Request"</w:t>
      </w:r>
      <w:r w:rsidRPr="00715DD4">
        <w:t xml:space="preserve">).  </w:t>
      </w:r>
      <w:r w:rsidR="00441AC9">
        <w:t>LGfL</w:t>
      </w:r>
      <w:r w:rsidRPr="00715DD4">
        <w:t xml:space="preserve"> shall provide such assistance promptly so as to facilitate compliance with relevant statutory time limits. </w:t>
      </w:r>
    </w:p>
    <w:p w14:paraId="4380D240" w14:textId="4F51E03E" w:rsidR="00E533E8" w:rsidRPr="00715DD4" w:rsidRDefault="00DA37EB" w:rsidP="00814590">
      <w:pPr>
        <w:pStyle w:val="Heading2"/>
        <w:widowControl w:val="0"/>
      </w:pPr>
      <w:r>
        <w:t>LGfL</w:t>
      </w:r>
      <w:r w:rsidR="00E533E8" w:rsidRPr="00715DD4">
        <w:t xml:space="preserve"> acknowledges </w:t>
      </w:r>
      <w:r w:rsidR="00EB7462" w:rsidRPr="00715DD4">
        <w:t xml:space="preserve">and accepts </w:t>
      </w:r>
      <w:r w:rsidR="00E533E8" w:rsidRPr="00715DD4">
        <w:t xml:space="preserve">that </w:t>
      </w:r>
      <w:r>
        <w:t>the Customer</w:t>
      </w:r>
      <w:r w:rsidR="00E533E8" w:rsidRPr="00715DD4">
        <w:t xml:space="preserve"> may disclose information pursuant to an Information Request </w:t>
      </w:r>
      <w:r w:rsidR="00D71D4B" w:rsidRPr="00715DD4">
        <w:t xml:space="preserve">in its sole discretion and </w:t>
      </w:r>
      <w:r w:rsidR="00E533E8" w:rsidRPr="00715DD4">
        <w:t>without prior consultation, provided that</w:t>
      </w:r>
      <w:r w:rsidR="0050724E" w:rsidRPr="00715DD4">
        <w:t xml:space="preserve"> it</w:t>
      </w:r>
      <w:r w:rsidR="00E533E8" w:rsidRPr="00715DD4">
        <w:t xml:space="preserve">: (a) acts in accordance with any code of practice </w:t>
      </w:r>
      <w:r w:rsidR="00311346" w:rsidRPr="00715DD4">
        <w:t xml:space="preserve">arising under the Information </w:t>
      </w:r>
      <w:r w:rsidR="00F811F1" w:rsidRPr="00715DD4">
        <w:t>Regulations</w:t>
      </w:r>
      <w:r w:rsidR="00E533E8" w:rsidRPr="00715DD4">
        <w:t xml:space="preserve">; (b) takes reasonable steps to give </w:t>
      </w:r>
      <w:r>
        <w:t>LGfL</w:t>
      </w:r>
      <w:r w:rsidR="00E533E8" w:rsidRPr="00715DD4">
        <w:t xml:space="preserve"> advance notice or, failing that, gives </w:t>
      </w:r>
      <w:r>
        <w:t>LGfL</w:t>
      </w:r>
      <w:r w:rsidR="00E533E8" w:rsidRPr="00715DD4">
        <w:t xml:space="preserve"> notice of the disclosure; and (c) </w:t>
      </w:r>
      <w:r w:rsidR="006C774B" w:rsidRPr="00715DD4">
        <w:t xml:space="preserve">acts in good faith to </w:t>
      </w:r>
      <w:r w:rsidR="00E533E8" w:rsidRPr="00715DD4">
        <w:t xml:space="preserve">determine whether </w:t>
      </w:r>
      <w:r w:rsidR="006C774B" w:rsidRPr="00715DD4">
        <w:t>any</w:t>
      </w:r>
      <w:r w:rsidR="00E533E8" w:rsidRPr="00715DD4">
        <w:t xml:space="preserve"> Commercially Sensitive Information is exempt from disclosure in accordance with the Information Regulations.</w:t>
      </w:r>
    </w:p>
    <w:p w14:paraId="44C5FCB2" w14:textId="77777777" w:rsidR="00312F30" w:rsidRPr="00715DD4" w:rsidRDefault="00312F30" w:rsidP="00427EAE">
      <w:pPr>
        <w:pStyle w:val="Heading1"/>
      </w:pPr>
      <w:bookmarkStart w:id="28" w:name="_Ref478726641"/>
      <w:r w:rsidRPr="00715DD4">
        <w:t>Term and Termination</w:t>
      </w:r>
      <w:bookmarkEnd w:id="28"/>
    </w:p>
    <w:p w14:paraId="791C07CB" w14:textId="77777777" w:rsidR="00BD41FC" w:rsidRDefault="00321E43" w:rsidP="00814590">
      <w:pPr>
        <w:pStyle w:val="Heading2"/>
        <w:widowControl w:val="0"/>
        <w:rPr>
          <w:szCs w:val="15"/>
        </w:rPr>
      </w:pPr>
      <w:bookmarkStart w:id="29" w:name="_Ref51838568"/>
      <w:bookmarkStart w:id="30" w:name="_Ref478738348"/>
      <w:bookmarkStart w:id="31" w:name="_Ref457371015"/>
      <w:bookmarkStart w:id="32" w:name="_Ref457371617"/>
      <w:r w:rsidRPr="00715DD4">
        <w:rPr>
          <w:szCs w:val="15"/>
        </w:rPr>
        <w:t xml:space="preserve">This Agreement shall take effect on </w:t>
      </w:r>
      <w:r w:rsidR="00AE2573">
        <w:rPr>
          <w:szCs w:val="15"/>
        </w:rPr>
        <w:t xml:space="preserve">execution by the parties (or the last of them to sign </w:t>
      </w:r>
      <w:r w:rsidR="00D56F5B">
        <w:rPr>
          <w:szCs w:val="15"/>
        </w:rPr>
        <w:t>as applicable)</w:t>
      </w:r>
      <w:r w:rsidRPr="00715DD4">
        <w:rPr>
          <w:szCs w:val="15"/>
        </w:rPr>
        <w:t xml:space="preserve"> and shall continue until </w:t>
      </w:r>
      <w:r w:rsidR="00BD41FC">
        <w:rPr>
          <w:szCs w:val="15"/>
        </w:rPr>
        <w:t>the later of:</w:t>
      </w:r>
      <w:bookmarkEnd w:id="29"/>
    </w:p>
    <w:p w14:paraId="7E542671" w14:textId="77777777" w:rsidR="006B4BC1" w:rsidRPr="006B4BC1" w:rsidRDefault="006B4BC1" w:rsidP="00BD41FC">
      <w:pPr>
        <w:pStyle w:val="Heading3"/>
        <w:rPr>
          <w:szCs w:val="15"/>
        </w:rPr>
      </w:pPr>
      <w:r>
        <w:rPr>
          <w:szCs w:val="15"/>
        </w:rPr>
        <w:t xml:space="preserve">the date </w:t>
      </w:r>
      <w:r w:rsidR="00D56F5B">
        <w:rPr>
          <w:szCs w:val="15"/>
        </w:rPr>
        <w:t>delivery of the</w:t>
      </w:r>
      <w:r w:rsidR="006B4123" w:rsidRPr="00715DD4">
        <w:t xml:space="preserve"> Order </w:t>
      </w:r>
      <w:r w:rsidR="00D56F5B">
        <w:t>has</w:t>
      </w:r>
      <w:r w:rsidR="006B4123" w:rsidRPr="00715DD4">
        <w:t xml:space="preserve"> been completed</w:t>
      </w:r>
      <w:r>
        <w:t>; or</w:t>
      </w:r>
    </w:p>
    <w:p w14:paraId="1CF2F7E7" w14:textId="77777777" w:rsidR="001E63CC" w:rsidRPr="001E63CC" w:rsidRDefault="006F434A" w:rsidP="00BD41FC">
      <w:pPr>
        <w:pStyle w:val="Heading3"/>
        <w:rPr>
          <w:szCs w:val="15"/>
        </w:rPr>
      </w:pPr>
      <w:r>
        <w:t>if LGfL supplies any Software</w:t>
      </w:r>
      <w:r w:rsidR="001E63CC">
        <w:t>,</w:t>
      </w:r>
      <w:r>
        <w:t xml:space="preserve"> </w:t>
      </w:r>
      <w:r w:rsidR="006B4BC1">
        <w:t xml:space="preserve">the end of the licence term </w:t>
      </w:r>
      <w:r w:rsidR="006F5E80">
        <w:t>as stated on the Order Form</w:t>
      </w:r>
      <w:r w:rsidR="001E63CC">
        <w:t>,</w:t>
      </w:r>
    </w:p>
    <w:p w14:paraId="7A7C24C8" w14:textId="4939A27A" w:rsidR="009543BC" w:rsidRDefault="001E63CC" w:rsidP="001E63CC">
      <w:pPr>
        <w:pStyle w:val="Heading2"/>
        <w:numPr>
          <w:ilvl w:val="0"/>
          <w:numId w:val="0"/>
        </w:numPr>
        <w:ind w:left="360"/>
      </w:pPr>
      <w:r>
        <w:t>(</w:t>
      </w:r>
      <w:r w:rsidRPr="00715DD4">
        <w:rPr>
          <w:b/>
        </w:rPr>
        <w:t>"</w:t>
      </w:r>
      <w:r w:rsidRPr="001E63CC">
        <w:rPr>
          <w:b/>
          <w:bCs/>
        </w:rPr>
        <w:t>Term</w:t>
      </w:r>
      <w:r w:rsidRPr="00715DD4">
        <w:rPr>
          <w:b/>
        </w:rPr>
        <w:t>"</w:t>
      </w:r>
      <w:r>
        <w:t>)</w:t>
      </w:r>
      <w:r w:rsidR="009543BC" w:rsidRPr="00715DD4">
        <w:t>.</w:t>
      </w:r>
      <w:bookmarkEnd w:id="30"/>
    </w:p>
    <w:p w14:paraId="431B10FD" w14:textId="0E8D6FC1" w:rsidR="00B632BA" w:rsidRPr="00715DD4" w:rsidRDefault="00B42886" w:rsidP="00B632BA">
      <w:pPr>
        <w:pStyle w:val="Heading2"/>
      </w:pPr>
      <w:r>
        <w:t xml:space="preserve">If LGfL supplies any Software, this Agreement </w:t>
      </w:r>
      <w:r w:rsidR="00317F94">
        <w:rPr>
          <w:szCs w:val="15"/>
        </w:rPr>
        <w:t>shall automatically renew for further 12 month periods unless terminated by either party on not less than 20 Working Days’ written notice prior to the end of the current Term</w:t>
      </w:r>
      <w:r w:rsidR="00317F94" w:rsidRPr="00715DD4">
        <w:t>.</w:t>
      </w:r>
    </w:p>
    <w:p w14:paraId="09443EA2" w14:textId="77777777" w:rsidR="003B07E2" w:rsidRPr="00715DD4" w:rsidRDefault="00312F30" w:rsidP="00814590">
      <w:pPr>
        <w:pStyle w:val="Heading2"/>
        <w:widowControl w:val="0"/>
      </w:pPr>
      <w:bookmarkStart w:id="33" w:name="_Ref478738962"/>
      <w:bookmarkStart w:id="34" w:name="_Ref478577196"/>
      <w:bookmarkEnd w:id="31"/>
      <w:bookmarkEnd w:id="32"/>
      <w:r w:rsidRPr="00715DD4">
        <w:lastRenderedPageBreak/>
        <w:t>Either party (</w:t>
      </w:r>
      <w:r w:rsidRPr="00715DD4">
        <w:rPr>
          <w:b/>
        </w:rPr>
        <w:t>"Terminating Party"</w:t>
      </w:r>
      <w:r w:rsidRPr="00715DD4">
        <w:t>) may terminate this Agreement i</w:t>
      </w:r>
      <w:r w:rsidR="003B07E2" w:rsidRPr="00715DD4">
        <w:t>mmediately by written notice if:</w:t>
      </w:r>
      <w:bookmarkEnd w:id="33"/>
    </w:p>
    <w:p w14:paraId="1A239157" w14:textId="77777777" w:rsidR="003B07E2" w:rsidRPr="00715DD4" w:rsidRDefault="00312F30" w:rsidP="00814590">
      <w:pPr>
        <w:pStyle w:val="Heading3"/>
        <w:widowControl w:val="0"/>
        <w:rPr>
          <w:szCs w:val="15"/>
        </w:rPr>
      </w:pPr>
      <w:bookmarkStart w:id="35" w:name="_Ref478741402"/>
      <w:r w:rsidRPr="00715DD4">
        <w:rPr>
          <w:szCs w:val="15"/>
        </w:rPr>
        <w:t>the other</w:t>
      </w:r>
      <w:r w:rsidR="000D2D45" w:rsidRPr="00715DD4">
        <w:rPr>
          <w:szCs w:val="15"/>
        </w:rPr>
        <w:t xml:space="preserve"> party</w:t>
      </w:r>
      <w:r w:rsidRPr="00715DD4">
        <w:rPr>
          <w:szCs w:val="15"/>
        </w:rPr>
        <w:t xml:space="preserve"> </w:t>
      </w:r>
      <w:r w:rsidR="003B07E2" w:rsidRPr="00715DD4">
        <w:t>(</w:t>
      </w:r>
      <w:r w:rsidR="003B07E2" w:rsidRPr="00715DD4">
        <w:rPr>
          <w:b/>
        </w:rPr>
        <w:t>"Defaulting Party"</w:t>
      </w:r>
      <w:r w:rsidR="003B07E2" w:rsidRPr="00715DD4">
        <w:t xml:space="preserve">) </w:t>
      </w:r>
      <w:r w:rsidRPr="00715DD4">
        <w:rPr>
          <w:szCs w:val="15"/>
        </w:rPr>
        <w:t xml:space="preserve">commits </w:t>
      </w:r>
      <w:r w:rsidR="004D33A9" w:rsidRPr="00715DD4">
        <w:rPr>
          <w:szCs w:val="15"/>
        </w:rPr>
        <w:t>a</w:t>
      </w:r>
      <w:r w:rsidRPr="00715DD4">
        <w:rPr>
          <w:szCs w:val="15"/>
        </w:rPr>
        <w:t xml:space="preserve"> material breach of this Agreement, which, if the breach is capable of remedy, is not remedied within 20 Working Days of written notice specifying the breach and requiring its remedy</w:t>
      </w:r>
      <w:r w:rsidR="00CA075F" w:rsidRPr="00715DD4">
        <w:rPr>
          <w:szCs w:val="15"/>
        </w:rPr>
        <w:t>;</w:t>
      </w:r>
      <w:bookmarkEnd w:id="35"/>
    </w:p>
    <w:bookmarkEnd w:id="34"/>
    <w:p w14:paraId="618B6AD4" w14:textId="77777777" w:rsidR="00312F30" w:rsidRPr="00715DD4" w:rsidRDefault="00041E73" w:rsidP="00814590">
      <w:pPr>
        <w:pStyle w:val="Heading3"/>
        <w:widowControl w:val="0"/>
        <w:rPr>
          <w:szCs w:val="15"/>
        </w:rPr>
      </w:pPr>
      <w:r w:rsidRPr="00715DD4">
        <w:t>the Defaulting Party suffers an Insolvency Event</w:t>
      </w:r>
      <w:r w:rsidR="00CA075F" w:rsidRPr="00715DD4">
        <w:t>; or</w:t>
      </w:r>
    </w:p>
    <w:p w14:paraId="3C8E3802" w14:textId="4A4D2913" w:rsidR="00CA075F" w:rsidRDefault="00CA075F" w:rsidP="00814590">
      <w:pPr>
        <w:pStyle w:val="Heading3"/>
        <w:widowControl w:val="0"/>
        <w:rPr>
          <w:szCs w:val="15"/>
        </w:rPr>
      </w:pPr>
      <w:r w:rsidRPr="00715DD4">
        <w:rPr>
          <w:szCs w:val="15"/>
        </w:rPr>
        <w:t xml:space="preserve">the Defaulting Party commits </w:t>
      </w:r>
      <w:r w:rsidR="000D2D45" w:rsidRPr="00715DD4">
        <w:rPr>
          <w:szCs w:val="15"/>
        </w:rPr>
        <w:t>a</w:t>
      </w:r>
      <w:r w:rsidRPr="00715DD4">
        <w:rPr>
          <w:szCs w:val="15"/>
        </w:rPr>
        <w:t xml:space="preserve"> Prohibited Act</w:t>
      </w:r>
      <w:r w:rsidR="000D2D45" w:rsidRPr="00715DD4">
        <w:rPr>
          <w:szCs w:val="15"/>
        </w:rPr>
        <w:t>.</w:t>
      </w:r>
    </w:p>
    <w:p w14:paraId="4268E7FA" w14:textId="77777777" w:rsidR="001A1FB6" w:rsidRPr="00715DD4" w:rsidRDefault="001A1FB6" w:rsidP="001A1FB6">
      <w:pPr>
        <w:pStyle w:val="Heading2"/>
      </w:pPr>
      <w:r>
        <w:t xml:space="preserve">If the licence for any Software is terminated for any reason, including pursuant to clause </w:t>
      </w:r>
      <w:r>
        <w:fldChar w:fldCharType="begin"/>
      </w:r>
      <w:r>
        <w:instrText xml:space="preserve"> REF _Ref42159613 \r \h </w:instrText>
      </w:r>
      <w:r>
        <w:fldChar w:fldCharType="separate"/>
      </w:r>
      <w:r>
        <w:t>7.4.3</w:t>
      </w:r>
      <w:r>
        <w:fldChar w:fldCharType="end"/>
      </w:r>
      <w:r>
        <w:t xml:space="preserve">, the Customer shall </w:t>
      </w:r>
      <w:r w:rsidRPr="0027608F">
        <w:t xml:space="preserve">destroy or, at the request of </w:t>
      </w:r>
      <w:r>
        <w:t>LGfL</w:t>
      </w:r>
      <w:r w:rsidRPr="0027608F">
        <w:t xml:space="preserve">, return </w:t>
      </w:r>
      <w:r>
        <w:t>the Software.</w:t>
      </w:r>
    </w:p>
    <w:p w14:paraId="74D76F39" w14:textId="32BD65E9" w:rsidR="005C4FC9" w:rsidRDefault="005C4FC9" w:rsidP="003530AA">
      <w:pPr>
        <w:pStyle w:val="Heading2"/>
      </w:pPr>
      <w:r w:rsidRPr="005C4FC9">
        <w:rPr>
          <w:color w:val="000000"/>
          <w:szCs w:val="22"/>
        </w:rPr>
        <w:t xml:space="preserve">The provisions of clauses </w:t>
      </w:r>
      <w:r w:rsidR="006E28D3">
        <w:fldChar w:fldCharType="begin"/>
      </w:r>
      <w:r w:rsidR="006E28D3">
        <w:instrText xml:space="preserve"> REF _Ref40719777 \r \h </w:instrText>
      </w:r>
      <w:r w:rsidR="006E28D3">
        <w:fldChar w:fldCharType="separate"/>
      </w:r>
      <w:r w:rsidR="00831EAE">
        <w:t>4</w:t>
      </w:r>
      <w:r w:rsidR="006E28D3">
        <w:fldChar w:fldCharType="end"/>
      </w:r>
      <w:r w:rsidR="00831EAE">
        <w:t xml:space="preserve">, </w:t>
      </w:r>
      <w:r w:rsidR="00831EAE">
        <w:fldChar w:fldCharType="begin"/>
      </w:r>
      <w:r w:rsidR="00831EAE">
        <w:instrText xml:space="preserve"> REF _Ref51839507 \r \h </w:instrText>
      </w:r>
      <w:r w:rsidR="00831EAE">
        <w:fldChar w:fldCharType="separate"/>
      </w:r>
      <w:r w:rsidR="00831EAE">
        <w:t>6</w:t>
      </w:r>
      <w:r w:rsidR="00831EAE">
        <w:fldChar w:fldCharType="end"/>
      </w:r>
      <w:r w:rsidR="006E28D3">
        <w:t xml:space="preserve"> - </w:t>
      </w:r>
      <w:r w:rsidR="006E28D3">
        <w:fldChar w:fldCharType="begin"/>
      </w:r>
      <w:r w:rsidR="006E28D3">
        <w:instrText xml:space="preserve"> REF _Ref478576966 \r \h </w:instrText>
      </w:r>
      <w:r w:rsidR="006E28D3">
        <w:fldChar w:fldCharType="separate"/>
      </w:r>
      <w:r w:rsidR="00831EAE">
        <w:t>8</w:t>
      </w:r>
      <w:r w:rsidR="006E28D3">
        <w:fldChar w:fldCharType="end"/>
      </w:r>
      <w:r w:rsidR="006E28D3" w:rsidRPr="00715DD4">
        <w:t xml:space="preserve">, </w:t>
      </w:r>
      <w:r w:rsidR="006E28D3" w:rsidRPr="00715DD4">
        <w:fldChar w:fldCharType="begin"/>
      </w:r>
      <w:r w:rsidR="006E28D3" w:rsidRPr="00715DD4">
        <w:instrText xml:space="preserve"> REF _Ref478576977 \r \h  \* MERGEFORMAT </w:instrText>
      </w:r>
      <w:r w:rsidR="006E28D3" w:rsidRPr="00715DD4">
        <w:fldChar w:fldCharType="separate"/>
      </w:r>
      <w:r w:rsidR="00831EAE">
        <w:t>13</w:t>
      </w:r>
      <w:r w:rsidR="006E28D3" w:rsidRPr="00715DD4">
        <w:fldChar w:fldCharType="end"/>
      </w:r>
      <w:r w:rsidR="006E28D3">
        <w:t xml:space="preserve"> </w:t>
      </w:r>
      <w:r w:rsidR="006E28D3" w:rsidRPr="00715DD4">
        <w:t xml:space="preserve">and </w:t>
      </w:r>
      <w:r w:rsidR="006E28D3">
        <w:fldChar w:fldCharType="begin"/>
      </w:r>
      <w:r w:rsidR="006E28D3">
        <w:instrText xml:space="preserve"> REF _Ref40719830 \r \h </w:instrText>
      </w:r>
      <w:r w:rsidR="006E28D3">
        <w:fldChar w:fldCharType="separate"/>
      </w:r>
      <w:r w:rsidR="00831EAE">
        <w:t>15</w:t>
      </w:r>
      <w:r w:rsidR="006E28D3">
        <w:fldChar w:fldCharType="end"/>
      </w:r>
      <w:r w:rsidRPr="005C4FC9">
        <w:rPr>
          <w:color w:val="000000"/>
          <w:szCs w:val="22"/>
        </w:rPr>
        <w:t>, together with any clauses whose survival is necessary for the interpretation or enforcement of this Agreement shall survive its termination or expiry</w:t>
      </w:r>
      <w:r>
        <w:t>.</w:t>
      </w:r>
    </w:p>
    <w:p w14:paraId="38223B4D" w14:textId="77777777" w:rsidR="00BF5483" w:rsidRPr="00715DD4" w:rsidRDefault="00BF5483" w:rsidP="00427EAE">
      <w:pPr>
        <w:pStyle w:val="Heading1"/>
      </w:pPr>
      <w:r w:rsidRPr="00715DD4">
        <w:t>Warranties</w:t>
      </w:r>
    </w:p>
    <w:p w14:paraId="1449BF8F" w14:textId="3525943C" w:rsidR="00BF5483" w:rsidRPr="00715DD4" w:rsidRDefault="00BF5483" w:rsidP="00814590">
      <w:pPr>
        <w:pStyle w:val="Heading2"/>
        <w:widowControl w:val="0"/>
      </w:pPr>
      <w:r w:rsidRPr="00715DD4">
        <w:t xml:space="preserve">Each party </w:t>
      </w:r>
      <w:r w:rsidR="00C56BD7" w:rsidRPr="00715DD4">
        <w:t xml:space="preserve">warrants, </w:t>
      </w:r>
      <w:r w:rsidRPr="00715DD4">
        <w:t xml:space="preserve">represents and undertakes to the other that: (a) it is duly authorised to enter into this Agreement on these terms; (b) in entering this Agreement </w:t>
      </w:r>
      <w:r w:rsidR="00D6354F" w:rsidRPr="00715DD4">
        <w:t>it has</w:t>
      </w:r>
      <w:r w:rsidRPr="00715DD4">
        <w:t xml:space="preserve"> not committed and will not commit any Prohibited Act; (c) </w:t>
      </w:r>
      <w:r w:rsidR="00D6354F" w:rsidRPr="00715DD4">
        <w:t>it</w:t>
      </w:r>
      <w:r w:rsidRPr="00715DD4">
        <w:t xml:space="preserve"> will use </w:t>
      </w:r>
      <w:r w:rsidR="00D6354F" w:rsidRPr="00715DD4">
        <w:t>its</w:t>
      </w:r>
      <w:r w:rsidRPr="00715DD4">
        <w:t xml:space="preserve"> best endeavours to ensure that </w:t>
      </w:r>
      <w:r w:rsidR="00D6354F" w:rsidRPr="00715DD4">
        <w:t>it</w:t>
      </w:r>
      <w:r w:rsidRPr="00715DD4">
        <w:t xml:space="preserve"> will not introduce any virus or disabling programmes or devices into the </w:t>
      </w:r>
      <w:r w:rsidR="00006CCB" w:rsidRPr="00715DD4">
        <w:t>computer systems</w:t>
      </w:r>
      <w:r w:rsidRPr="00715DD4">
        <w:t xml:space="preserve"> of </w:t>
      </w:r>
      <w:r w:rsidR="00D6354F" w:rsidRPr="00715DD4">
        <w:t>the other</w:t>
      </w:r>
      <w:r w:rsidRPr="00715DD4">
        <w:t xml:space="preserve"> party; and (d) </w:t>
      </w:r>
      <w:r w:rsidR="00D6354F" w:rsidRPr="00715DD4">
        <w:t>it</w:t>
      </w:r>
      <w:r w:rsidRPr="00715DD4">
        <w:t xml:space="preserve"> will use </w:t>
      </w:r>
      <w:r w:rsidR="00D6354F" w:rsidRPr="00715DD4">
        <w:t>its</w:t>
      </w:r>
      <w:r w:rsidRPr="00715DD4">
        <w:t xml:space="preserve"> best endeavours to ensure that none of </w:t>
      </w:r>
      <w:r w:rsidR="00D6354F" w:rsidRPr="00715DD4">
        <w:t>its</w:t>
      </w:r>
      <w:r w:rsidRPr="00715DD4">
        <w:t xml:space="preserve"> Personnel will infringe or induce, instruct or encourage any Personnel to infringe any I</w:t>
      </w:r>
      <w:r w:rsidR="00D6354F" w:rsidRPr="00715DD4">
        <w:t>ntellectual Property Rights of the other</w:t>
      </w:r>
      <w:r w:rsidRPr="00715DD4">
        <w:t xml:space="preserve"> party or any third party.</w:t>
      </w:r>
    </w:p>
    <w:p w14:paraId="75347CE2" w14:textId="1759789A" w:rsidR="00E37307" w:rsidRDefault="00E37307" w:rsidP="00814590">
      <w:pPr>
        <w:pStyle w:val="Heading2"/>
        <w:widowControl w:val="0"/>
        <w:ind w:left="357" w:hanging="357"/>
      </w:pPr>
      <w:r>
        <w:t xml:space="preserve">The Customer acknowledges and agrees that the Software is provided “as is” without warranty of any kind, express or implied, </w:t>
      </w:r>
      <w:r w:rsidR="003B54A4">
        <w:t xml:space="preserve">including implied warranties of merchantability and fitness for a particular purpose, </w:t>
      </w:r>
      <w:r>
        <w:t xml:space="preserve">except as otherwise set out </w:t>
      </w:r>
      <w:r w:rsidR="00E42321">
        <w:t>in these terms</w:t>
      </w:r>
      <w:r>
        <w:t>.  LGfL does not warrant th</w:t>
      </w:r>
      <w:r w:rsidR="003B54A4">
        <w:t>at</w:t>
      </w:r>
      <w:r>
        <w:t xml:space="preserve"> the functions contained in the Software will meet </w:t>
      </w:r>
      <w:r w:rsidR="00551DFF">
        <w:t xml:space="preserve">the </w:t>
      </w:r>
      <w:r>
        <w:t>Customer’s requirement</w:t>
      </w:r>
      <w:r w:rsidR="007856C3">
        <w:t>s</w:t>
      </w:r>
      <w:r>
        <w:t xml:space="preserve"> or expectations or that the operation of the Software will be uninterrupted or error free.</w:t>
      </w:r>
    </w:p>
    <w:p w14:paraId="5E746437" w14:textId="19C8CB3F" w:rsidR="00236DE2" w:rsidRPr="00715DD4" w:rsidRDefault="00236DE2" w:rsidP="00236DE2">
      <w:pPr>
        <w:pStyle w:val="Heading2"/>
        <w:widowControl w:val="0"/>
        <w:ind w:left="357" w:hanging="357"/>
      </w:pPr>
      <w:r w:rsidRPr="00715DD4">
        <w:t>Except as expressly set out in this Agreement, all other warranties, representations and undertakings, whether express or implied, are excluded to the fullest extent permitted by law.</w:t>
      </w:r>
      <w:r>
        <w:t xml:space="preserve"> </w:t>
      </w:r>
    </w:p>
    <w:p w14:paraId="1A24558E" w14:textId="77777777" w:rsidR="00312F30" w:rsidRPr="00715DD4" w:rsidRDefault="00312F30" w:rsidP="00AD14B3">
      <w:pPr>
        <w:pStyle w:val="Heading1"/>
        <w:keepNext/>
        <w:widowControl/>
      </w:pPr>
      <w:bookmarkStart w:id="36" w:name="_Ref478576977"/>
      <w:r w:rsidRPr="00715DD4">
        <w:t>Limitation of Liability</w:t>
      </w:r>
      <w:bookmarkEnd w:id="36"/>
    </w:p>
    <w:p w14:paraId="7EF2E4AD" w14:textId="0AD424B5" w:rsidR="00312F30" w:rsidRPr="00715DD4" w:rsidRDefault="00312F30" w:rsidP="009D5269">
      <w:pPr>
        <w:pStyle w:val="Heading2"/>
        <w:keepNext/>
        <w:ind w:left="357" w:hanging="357"/>
      </w:pPr>
      <w:bookmarkStart w:id="37" w:name="_Ref478737022"/>
      <w:r w:rsidRPr="00715DD4">
        <w:t xml:space="preserve">Nothing </w:t>
      </w:r>
      <w:r w:rsidR="00A564ED" w:rsidRPr="00715DD4">
        <w:t>in this Agreement</w:t>
      </w:r>
      <w:r w:rsidRPr="00715DD4">
        <w:t xml:space="preserve"> shall limit either party's liability for: (a) death or personal injury resulting from its own negligence or that of its Personnel; (b) </w:t>
      </w:r>
      <w:r w:rsidR="00F811F1" w:rsidRPr="00715DD4">
        <w:t>fraud</w:t>
      </w:r>
      <w:r w:rsidR="00BD0585" w:rsidRPr="00715DD4">
        <w:t xml:space="preserve"> or fraudulent misrepresentation</w:t>
      </w:r>
      <w:r w:rsidR="00F811F1" w:rsidRPr="00715DD4">
        <w:t xml:space="preserve">; </w:t>
      </w:r>
      <w:r w:rsidR="00466381">
        <w:t xml:space="preserve">or </w:t>
      </w:r>
      <w:r w:rsidR="00F811F1" w:rsidRPr="00715DD4">
        <w:t>(</w:t>
      </w:r>
      <w:r w:rsidR="00090DB4" w:rsidRPr="00715DD4">
        <w:t xml:space="preserve">c) </w:t>
      </w:r>
      <w:r w:rsidRPr="00715DD4">
        <w:t>any liability which cannot by law be excluded or restricted.</w:t>
      </w:r>
      <w:bookmarkEnd w:id="37"/>
    </w:p>
    <w:p w14:paraId="69E9CE42" w14:textId="43312FF2" w:rsidR="009543BC" w:rsidRPr="007B2AC7" w:rsidRDefault="009543BC" w:rsidP="007B2AC7">
      <w:pPr>
        <w:pStyle w:val="Heading2"/>
        <w:widowControl w:val="0"/>
      </w:pPr>
      <w:r w:rsidRPr="00715DD4">
        <w:t>Without prejudice</w:t>
      </w:r>
      <w:r w:rsidR="00312F30" w:rsidRPr="00715DD4">
        <w:t xml:space="preserve"> to </w:t>
      </w:r>
      <w:r w:rsidR="00566049" w:rsidRPr="00715DD4">
        <w:t>clause</w:t>
      </w:r>
      <w:r w:rsidRPr="00715DD4">
        <w:t xml:space="preserve"> </w:t>
      </w:r>
      <w:r w:rsidRPr="00715DD4">
        <w:fldChar w:fldCharType="begin"/>
      </w:r>
      <w:r w:rsidRPr="00715DD4">
        <w:instrText xml:space="preserve"> REF _Ref478737022 \r \h </w:instrText>
      </w:r>
      <w:r w:rsidR="00BF3BC2" w:rsidRPr="00715DD4">
        <w:instrText xml:space="preserve"> \* MERGEFORMAT </w:instrText>
      </w:r>
      <w:r w:rsidRPr="00715DD4">
        <w:fldChar w:fldCharType="separate"/>
      </w:r>
      <w:r w:rsidR="00831EAE">
        <w:t>13.1</w:t>
      </w:r>
      <w:r w:rsidRPr="00715DD4">
        <w:fldChar w:fldCharType="end"/>
      </w:r>
      <w:r w:rsidR="00312F30" w:rsidRPr="00715DD4">
        <w:t xml:space="preserve">, </w:t>
      </w:r>
      <w:r w:rsidR="00151F50" w:rsidRPr="00715DD4">
        <w:t>the aggregate liability of either</w:t>
      </w:r>
      <w:r w:rsidR="00312F30" w:rsidRPr="00715DD4">
        <w:t xml:space="preserve"> party shall </w:t>
      </w:r>
      <w:r w:rsidR="00151F50" w:rsidRPr="00715DD4">
        <w:t>not</w:t>
      </w:r>
      <w:r w:rsidR="00BD1B42" w:rsidRPr="00715DD4">
        <w:t>,</w:t>
      </w:r>
      <w:r w:rsidR="002C75E5" w:rsidRPr="00715DD4">
        <w:t xml:space="preserve"> in respect of</w:t>
      </w:r>
      <w:r w:rsidR="007B2AC7">
        <w:t xml:space="preserve"> </w:t>
      </w:r>
      <w:r w:rsidR="007B2AC7" w:rsidRPr="00715DD4">
        <w:rPr>
          <w:szCs w:val="15"/>
        </w:rPr>
        <w:t xml:space="preserve">all other causes of action arising out of or in connection with this Agreement (whether for breach of contract, negligence or other tort, statute or otherwise), exceed an amount equal to the </w:t>
      </w:r>
      <w:r w:rsidR="007B2AC7">
        <w:rPr>
          <w:szCs w:val="15"/>
        </w:rPr>
        <w:t>Price</w:t>
      </w:r>
      <w:r w:rsidR="007B2AC7" w:rsidRPr="00715DD4">
        <w:rPr>
          <w:szCs w:val="15"/>
        </w:rPr>
        <w:t xml:space="preserve"> paid or payable (without deduction, set off or counter-claim)</w:t>
      </w:r>
      <w:r w:rsidR="007B2AC7">
        <w:t>.</w:t>
      </w:r>
    </w:p>
    <w:p w14:paraId="499AAF17" w14:textId="690C071C" w:rsidR="0012667C" w:rsidRPr="00715DD4" w:rsidRDefault="00312F30" w:rsidP="00814590">
      <w:pPr>
        <w:pStyle w:val="Heading2"/>
        <w:widowControl w:val="0"/>
      </w:pPr>
      <w:bookmarkStart w:id="38" w:name="_Ref479170404"/>
      <w:r w:rsidRPr="00715DD4">
        <w:t xml:space="preserve">Neither party shall be liable to the other under this Agreement for: (a) any indirect or consequential loss or damage at all; or (b) for any loss of business, </w:t>
      </w:r>
      <w:r w:rsidR="00551DFF">
        <w:t xml:space="preserve">financial loss, including loss of </w:t>
      </w:r>
      <w:r w:rsidRPr="00715DD4">
        <w:t>revenue, profit</w:t>
      </w:r>
      <w:r w:rsidR="00551DFF">
        <w:t xml:space="preserve"> or</w:t>
      </w:r>
      <w:r w:rsidRPr="00715DD4">
        <w:t xml:space="preserve"> anticipated savings</w:t>
      </w:r>
      <w:r w:rsidR="00551DFF">
        <w:t xml:space="preserve"> or loss of</w:t>
      </w:r>
      <w:r w:rsidRPr="00715DD4">
        <w:t xml:space="preserve"> goodwill, reputation or data.</w:t>
      </w:r>
      <w:bookmarkEnd w:id="38"/>
    </w:p>
    <w:p w14:paraId="7BB9DCBC" w14:textId="77777777" w:rsidR="00312F30" w:rsidRPr="00715DD4" w:rsidRDefault="00312F30" w:rsidP="00427EAE">
      <w:pPr>
        <w:pStyle w:val="Heading1"/>
      </w:pPr>
      <w:bookmarkStart w:id="39" w:name="_Ref478742208"/>
      <w:r w:rsidRPr="00715DD4">
        <w:t>Dispute Resolution</w:t>
      </w:r>
      <w:bookmarkEnd w:id="39"/>
    </w:p>
    <w:p w14:paraId="245622FE" w14:textId="77777777" w:rsidR="00312F30" w:rsidRPr="00715DD4" w:rsidRDefault="00312F30" w:rsidP="00814590">
      <w:pPr>
        <w:pStyle w:val="Heading2"/>
        <w:widowControl w:val="0"/>
        <w:rPr>
          <w:szCs w:val="15"/>
        </w:rPr>
      </w:pPr>
      <w:r w:rsidRPr="00715DD4">
        <w:rPr>
          <w:szCs w:val="15"/>
        </w:rPr>
        <w:t xml:space="preserve">The parties shall use all reasonable endeavours to resolve any dispute in good </w:t>
      </w:r>
      <w:r w:rsidR="00672D1D" w:rsidRPr="00715DD4">
        <w:rPr>
          <w:szCs w:val="15"/>
        </w:rPr>
        <w:t>faith</w:t>
      </w:r>
      <w:r w:rsidRPr="00715DD4">
        <w:rPr>
          <w:szCs w:val="15"/>
        </w:rPr>
        <w:t xml:space="preserve">.  </w:t>
      </w:r>
    </w:p>
    <w:p w14:paraId="17892625" w14:textId="46A88F6B" w:rsidR="00793E16" w:rsidRPr="00715DD4" w:rsidRDefault="00793E16" w:rsidP="00814590">
      <w:pPr>
        <w:pStyle w:val="Heading2"/>
        <w:widowControl w:val="0"/>
        <w:rPr>
          <w:szCs w:val="15"/>
        </w:rPr>
      </w:pPr>
      <w:r w:rsidRPr="00715DD4">
        <w:rPr>
          <w:szCs w:val="15"/>
        </w:rPr>
        <w:t xml:space="preserve">Any disputes that cannot be resolved by the parties’ representatives in the first instance </w:t>
      </w:r>
      <w:r w:rsidR="00E012C2" w:rsidRPr="00715DD4">
        <w:rPr>
          <w:szCs w:val="15"/>
        </w:rPr>
        <w:t>shall</w:t>
      </w:r>
      <w:r w:rsidRPr="00715DD4">
        <w:rPr>
          <w:szCs w:val="15"/>
        </w:rPr>
        <w:t xml:space="preserve"> be escalated to </w:t>
      </w:r>
      <w:r w:rsidR="00FF3D7E">
        <w:rPr>
          <w:szCs w:val="15"/>
        </w:rPr>
        <w:t>a</w:t>
      </w:r>
      <w:r w:rsidRPr="00715DD4">
        <w:rPr>
          <w:szCs w:val="15"/>
        </w:rPr>
        <w:t xml:space="preserve"> senior executive officer of each party.</w:t>
      </w:r>
    </w:p>
    <w:p w14:paraId="038911F1" w14:textId="064324F5" w:rsidR="00312F30" w:rsidRPr="00715DD4" w:rsidRDefault="00312F30" w:rsidP="00814590">
      <w:pPr>
        <w:pStyle w:val="Heading2"/>
        <w:widowControl w:val="0"/>
        <w:rPr>
          <w:szCs w:val="15"/>
        </w:rPr>
      </w:pPr>
      <w:r w:rsidRPr="00715DD4">
        <w:rPr>
          <w:szCs w:val="15"/>
        </w:rPr>
        <w:t xml:space="preserve">If </w:t>
      </w:r>
      <w:r w:rsidR="00793E16" w:rsidRPr="00715DD4">
        <w:rPr>
          <w:szCs w:val="15"/>
        </w:rPr>
        <w:t xml:space="preserve">the dispute remains unresolved </w:t>
      </w:r>
      <w:r w:rsidRPr="00715DD4">
        <w:rPr>
          <w:szCs w:val="15"/>
        </w:rPr>
        <w:t xml:space="preserve">within </w:t>
      </w:r>
      <w:r w:rsidR="00793E16" w:rsidRPr="00715DD4">
        <w:rPr>
          <w:szCs w:val="15"/>
        </w:rPr>
        <w:t>2</w:t>
      </w:r>
      <w:r w:rsidRPr="00715DD4">
        <w:rPr>
          <w:szCs w:val="15"/>
        </w:rPr>
        <w:t xml:space="preserve">0 Working Days of the dispute </w:t>
      </w:r>
      <w:r w:rsidR="00793E16" w:rsidRPr="00715DD4">
        <w:rPr>
          <w:szCs w:val="15"/>
        </w:rPr>
        <w:t>being escalated to the senior executive office</w:t>
      </w:r>
      <w:r w:rsidR="00E012C2" w:rsidRPr="00715DD4">
        <w:rPr>
          <w:szCs w:val="15"/>
        </w:rPr>
        <w:t>rs</w:t>
      </w:r>
      <w:r w:rsidR="00793E16" w:rsidRPr="00715DD4">
        <w:rPr>
          <w:szCs w:val="15"/>
        </w:rPr>
        <w:t xml:space="preserve">, </w:t>
      </w:r>
      <w:r w:rsidRPr="00715DD4">
        <w:rPr>
          <w:szCs w:val="15"/>
        </w:rPr>
        <w:t xml:space="preserve">the parties shall refer the dispute to </w:t>
      </w:r>
      <w:r w:rsidR="00793E16" w:rsidRPr="00715DD4">
        <w:rPr>
          <w:szCs w:val="15"/>
        </w:rPr>
        <w:t>mediation in accordance with the Centre for Effective Dispute Resolution (</w:t>
      </w:r>
      <w:r w:rsidR="00236DE2" w:rsidRPr="00715DD4">
        <w:rPr>
          <w:b/>
        </w:rPr>
        <w:t>"</w:t>
      </w:r>
      <w:r w:rsidR="00793E16" w:rsidRPr="00236DE2">
        <w:rPr>
          <w:b/>
          <w:bCs/>
          <w:szCs w:val="15"/>
        </w:rPr>
        <w:t>CEDR</w:t>
      </w:r>
      <w:r w:rsidR="00236DE2" w:rsidRPr="00715DD4">
        <w:rPr>
          <w:b/>
        </w:rPr>
        <w:t>"</w:t>
      </w:r>
      <w:r w:rsidR="00793E16" w:rsidRPr="00715DD4">
        <w:rPr>
          <w:szCs w:val="15"/>
        </w:rPr>
        <w:t>) Model Mediation Procedure.  Unless otherwise agreed by the parties, the mediator will be nominated by CEDR and the mediation will start not less than 20 Working Days after the referral</w:t>
      </w:r>
      <w:r w:rsidRPr="00715DD4">
        <w:rPr>
          <w:szCs w:val="15"/>
        </w:rPr>
        <w:t xml:space="preserve">. </w:t>
      </w:r>
    </w:p>
    <w:p w14:paraId="3C81FC61" w14:textId="77777777" w:rsidR="00793E16" w:rsidRPr="00715DD4" w:rsidRDefault="00766B83" w:rsidP="00814590">
      <w:pPr>
        <w:pStyle w:val="Heading2"/>
        <w:widowControl w:val="0"/>
        <w:rPr>
          <w:szCs w:val="15"/>
        </w:rPr>
      </w:pPr>
      <w:r w:rsidRPr="00715DD4">
        <w:rPr>
          <w:szCs w:val="15"/>
        </w:rPr>
        <w:t>Either party may commence or continue litigation i</w:t>
      </w:r>
      <w:r w:rsidR="00793E16" w:rsidRPr="00715DD4">
        <w:rPr>
          <w:szCs w:val="15"/>
        </w:rPr>
        <w:t>f the parties are unable to r</w:t>
      </w:r>
      <w:r w:rsidRPr="00715DD4">
        <w:rPr>
          <w:szCs w:val="15"/>
        </w:rPr>
        <w:t>esolve the dispute by mediation</w:t>
      </w:r>
      <w:r w:rsidR="00793E16" w:rsidRPr="00715DD4">
        <w:rPr>
          <w:szCs w:val="15"/>
        </w:rPr>
        <w:t xml:space="preserve">.  </w:t>
      </w:r>
    </w:p>
    <w:p w14:paraId="61BBE70F" w14:textId="664A48AF" w:rsidR="00793E16" w:rsidRPr="00715DD4" w:rsidRDefault="00793E16" w:rsidP="00814590">
      <w:pPr>
        <w:pStyle w:val="Heading2"/>
        <w:widowControl w:val="0"/>
        <w:rPr>
          <w:szCs w:val="15"/>
        </w:rPr>
      </w:pPr>
      <w:r w:rsidRPr="00715DD4">
        <w:rPr>
          <w:szCs w:val="15"/>
        </w:rPr>
        <w:t xml:space="preserve">Nothing in this clause </w:t>
      </w:r>
      <w:r w:rsidRPr="00715DD4">
        <w:rPr>
          <w:szCs w:val="15"/>
        </w:rPr>
        <w:fldChar w:fldCharType="begin"/>
      </w:r>
      <w:r w:rsidRPr="00715DD4">
        <w:rPr>
          <w:szCs w:val="15"/>
        </w:rPr>
        <w:instrText xml:space="preserve"> REF _Ref478742208 \r \h </w:instrText>
      </w:r>
      <w:r w:rsidR="00BF3BC2" w:rsidRPr="00715DD4">
        <w:rPr>
          <w:szCs w:val="15"/>
        </w:rPr>
        <w:instrText xml:space="preserve"> \* MERGEFORMAT </w:instrText>
      </w:r>
      <w:r w:rsidRPr="00715DD4">
        <w:rPr>
          <w:szCs w:val="15"/>
        </w:rPr>
      </w:r>
      <w:r w:rsidRPr="00715DD4">
        <w:rPr>
          <w:szCs w:val="15"/>
        </w:rPr>
        <w:fldChar w:fldCharType="separate"/>
      </w:r>
      <w:r w:rsidR="00831EAE">
        <w:rPr>
          <w:szCs w:val="15"/>
        </w:rPr>
        <w:t>14</w:t>
      </w:r>
      <w:r w:rsidRPr="00715DD4">
        <w:rPr>
          <w:szCs w:val="15"/>
        </w:rPr>
        <w:fldChar w:fldCharType="end"/>
      </w:r>
      <w:r w:rsidRPr="00715DD4">
        <w:rPr>
          <w:szCs w:val="15"/>
        </w:rPr>
        <w:t xml:space="preserve"> shall prevent either party from </w:t>
      </w:r>
      <w:r w:rsidR="00CE6876" w:rsidRPr="00715DD4">
        <w:rPr>
          <w:szCs w:val="15"/>
        </w:rPr>
        <w:t xml:space="preserve">seeking </w:t>
      </w:r>
      <w:r w:rsidR="00C268FD" w:rsidRPr="00715DD4">
        <w:rPr>
          <w:szCs w:val="15"/>
        </w:rPr>
        <w:t>injunctive relief</w:t>
      </w:r>
      <w:r w:rsidR="003C5987" w:rsidRPr="00715DD4">
        <w:rPr>
          <w:szCs w:val="15"/>
        </w:rPr>
        <w:t xml:space="preserve"> at any time.</w:t>
      </w:r>
    </w:p>
    <w:p w14:paraId="009C11C8" w14:textId="77777777" w:rsidR="00312F30" w:rsidRPr="00715DD4" w:rsidRDefault="00312F30" w:rsidP="00427EAE">
      <w:pPr>
        <w:pStyle w:val="Heading1"/>
      </w:pPr>
      <w:bookmarkStart w:id="40" w:name="_Ref40719830"/>
      <w:r w:rsidRPr="00715DD4">
        <w:t>General</w:t>
      </w:r>
      <w:bookmarkEnd w:id="40"/>
    </w:p>
    <w:p w14:paraId="7E62C546" w14:textId="58D34A89" w:rsidR="00312F30" w:rsidRDefault="00312F30" w:rsidP="00814590">
      <w:pPr>
        <w:pStyle w:val="Heading2"/>
        <w:widowControl w:val="0"/>
      </w:pPr>
      <w:r w:rsidRPr="00715DD4">
        <w:rPr>
          <w:b/>
        </w:rPr>
        <w:t>Force majeure:</w:t>
      </w:r>
      <w:r w:rsidR="00337F0A" w:rsidRPr="00715DD4">
        <w:t xml:space="preserve"> N</w:t>
      </w:r>
      <w:r w:rsidRPr="00715DD4">
        <w:t>either party shall be liable to the other for any delay</w:t>
      </w:r>
      <w:r w:rsidR="0074466A" w:rsidRPr="00715DD4">
        <w:t xml:space="preserve"> or failure to perform</w:t>
      </w:r>
      <w:r w:rsidRPr="00715DD4">
        <w:t xml:space="preserve"> its obligations under this Agreement arising from any cause beyond its reasonable control.</w:t>
      </w:r>
    </w:p>
    <w:p w14:paraId="2E37014C" w14:textId="77777777" w:rsidR="00312F30" w:rsidRPr="00715DD4" w:rsidRDefault="00312F30" w:rsidP="00814590">
      <w:pPr>
        <w:pStyle w:val="Heading2"/>
        <w:widowControl w:val="0"/>
      </w:pPr>
      <w:bookmarkStart w:id="41" w:name="_Ref478576956"/>
      <w:r w:rsidRPr="00715DD4">
        <w:rPr>
          <w:b/>
        </w:rPr>
        <w:t>Exclusion of other terms:</w:t>
      </w:r>
      <w:r w:rsidRPr="00715DD4">
        <w:t xml:space="preserve"> This Agreement sets out the entire agreement and understanding between the parties in connection with its subject matter.  Nothing in this </w:t>
      </w:r>
      <w:r w:rsidR="00393E20" w:rsidRPr="00715DD4">
        <w:t>Agreement</w:t>
      </w:r>
      <w:r w:rsidRPr="00715DD4">
        <w:t xml:space="preserve"> shall affect the liability of either party in respect of any misrepresentation, warranty or condition that it makes fraudulently.</w:t>
      </w:r>
      <w:bookmarkEnd w:id="41"/>
    </w:p>
    <w:p w14:paraId="0F399129" w14:textId="65B8F659" w:rsidR="00393E20" w:rsidRPr="00715DD4" w:rsidRDefault="00312F30" w:rsidP="00814590">
      <w:pPr>
        <w:pStyle w:val="Heading2"/>
        <w:widowControl w:val="0"/>
      </w:pPr>
      <w:bookmarkStart w:id="42" w:name="_Ref478577280"/>
      <w:r w:rsidRPr="00715DD4">
        <w:rPr>
          <w:b/>
        </w:rPr>
        <w:t>Assignment:</w:t>
      </w:r>
      <w:r w:rsidR="00393E20" w:rsidRPr="00715DD4">
        <w:t xml:space="preserve"> </w:t>
      </w:r>
      <w:r w:rsidR="000761AF">
        <w:t>The Customer acknowledges that this Agreement is personal to it and that it</w:t>
      </w:r>
      <w:r w:rsidR="00D6201B" w:rsidRPr="00715DD4">
        <w:t xml:space="preserve"> </w:t>
      </w:r>
      <w:r w:rsidRPr="00715DD4">
        <w:t xml:space="preserve">may </w:t>
      </w:r>
      <w:r w:rsidR="000761AF">
        <w:t xml:space="preserve">not </w:t>
      </w:r>
      <w:r w:rsidRPr="00715DD4">
        <w:t>assign or other</w:t>
      </w:r>
      <w:r w:rsidR="00393E20" w:rsidRPr="00715DD4">
        <w:t>wise</w:t>
      </w:r>
      <w:r w:rsidRPr="00715DD4">
        <w:t xml:space="preserve"> </w:t>
      </w:r>
      <w:r w:rsidR="00393E20" w:rsidRPr="00715DD4">
        <w:t>transfer</w:t>
      </w:r>
      <w:r w:rsidRPr="00715DD4">
        <w:t xml:space="preserve"> </w:t>
      </w:r>
      <w:r w:rsidR="000761AF">
        <w:t xml:space="preserve">the benefit </w:t>
      </w:r>
      <w:r w:rsidR="00C217C8">
        <w:t>of</w:t>
      </w:r>
      <w:r w:rsidR="00A16FFA">
        <w:t>,</w:t>
      </w:r>
      <w:r w:rsidR="00C217C8">
        <w:t xml:space="preserve"> </w:t>
      </w:r>
      <w:r w:rsidR="000761AF">
        <w:t>o</w:t>
      </w:r>
      <w:r w:rsidR="00C217C8">
        <w:t>r its obligations under</w:t>
      </w:r>
      <w:r w:rsidR="00A16FFA">
        <w:t>,</w:t>
      </w:r>
      <w:r w:rsidR="00C217C8">
        <w:t xml:space="preserve"> </w:t>
      </w:r>
      <w:r w:rsidR="00393E20" w:rsidRPr="00715DD4">
        <w:rPr>
          <w:szCs w:val="15"/>
        </w:rPr>
        <w:t>this Agreement</w:t>
      </w:r>
      <w:r w:rsidR="001108C9" w:rsidRPr="00715DD4">
        <w:rPr>
          <w:szCs w:val="15"/>
        </w:rPr>
        <w:t xml:space="preserve"> </w:t>
      </w:r>
      <w:r w:rsidR="00393E20" w:rsidRPr="00715DD4">
        <w:t>to any third party</w:t>
      </w:r>
      <w:r w:rsidRPr="00715DD4">
        <w:rPr>
          <w:szCs w:val="15"/>
        </w:rPr>
        <w:t xml:space="preserve">, either in whole or in part, without </w:t>
      </w:r>
      <w:r w:rsidR="000761AF">
        <w:rPr>
          <w:szCs w:val="15"/>
        </w:rPr>
        <w:t>LGfL’s</w:t>
      </w:r>
      <w:r w:rsidRPr="00715DD4">
        <w:rPr>
          <w:szCs w:val="15"/>
        </w:rPr>
        <w:t xml:space="preserve"> prior written consent. </w:t>
      </w:r>
    </w:p>
    <w:p w14:paraId="61C76DB9" w14:textId="77777777" w:rsidR="00312F30" w:rsidRPr="00715DD4" w:rsidRDefault="00312F30" w:rsidP="00814590">
      <w:pPr>
        <w:pStyle w:val="Heading2"/>
        <w:widowControl w:val="0"/>
      </w:pPr>
      <w:bookmarkStart w:id="43" w:name="_Ref478576942"/>
      <w:bookmarkEnd w:id="42"/>
      <w:r w:rsidRPr="00715DD4">
        <w:rPr>
          <w:b/>
        </w:rPr>
        <w:t>Waiver:</w:t>
      </w:r>
      <w:r w:rsidRPr="00715DD4">
        <w:t xml:space="preserve"> Failure by either party to exercise or enforce any rights, or the giving of any forbearance, delay or indulgence, will not be construed as a waiver of its rights under this Agreement or otherwise.</w:t>
      </w:r>
      <w:bookmarkEnd w:id="43"/>
    </w:p>
    <w:p w14:paraId="3AC93EB4" w14:textId="77777777" w:rsidR="00312F30" w:rsidRPr="00715DD4" w:rsidRDefault="00312F30" w:rsidP="00814590">
      <w:pPr>
        <w:pStyle w:val="Heading2"/>
        <w:widowControl w:val="0"/>
      </w:pPr>
      <w:r w:rsidRPr="00715DD4">
        <w:rPr>
          <w:b/>
        </w:rPr>
        <w:t xml:space="preserve">Notices: </w:t>
      </w:r>
      <w:r w:rsidRPr="00715DD4">
        <w:t xml:space="preserve">Notices under this Agreement shall be in writing and delivered to the other party by hand, by first class post or by </w:t>
      </w:r>
      <w:r w:rsidR="00F56AF9" w:rsidRPr="00715DD4">
        <w:t>email</w:t>
      </w:r>
      <w:r w:rsidRPr="00715DD4">
        <w:t>.  Any notice or document shall be deemed served: if delivered by hand at the time of delivery; if posted, 2 Working Days after posting</w:t>
      </w:r>
      <w:r w:rsidR="00F56AF9" w:rsidRPr="00715DD4">
        <w:t>;</w:t>
      </w:r>
      <w:r w:rsidRPr="00715DD4">
        <w:t xml:space="preserve"> and if sent by </w:t>
      </w:r>
      <w:r w:rsidR="00F56AF9" w:rsidRPr="00715DD4">
        <w:t>email</w:t>
      </w:r>
      <w:r w:rsidRPr="00715DD4">
        <w:t>, at the time of transmission</w:t>
      </w:r>
      <w:r w:rsidR="00F56AF9" w:rsidRPr="00715DD4">
        <w:t xml:space="preserve"> if sent between 09:00 – 17:00 of any Working Day</w:t>
      </w:r>
      <w:r w:rsidR="00A30BD6" w:rsidRPr="00715DD4">
        <w:t xml:space="preserve"> (and </w:t>
      </w:r>
      <w:r w:rsidR="00F811F1" w:rsidRPr="00715DD4">
        <w:t>otherwise</w:t>
      </w:r>
      <w:r w:rsidR="00A30BD6" w:rsidRPr="00715DD4">
        <w:t xml:space="preserve"> the next Working Day)</w:t>
      </w:r>
      <w:r w:rsidR="00F56AF9" w:rsidRPr="00715DD4">
        <w:t>, provided that no error message is returned</w:t>
      </w:r>
      <w:r w:rsidRPr="00715DD4">
        <w:t>.</w:t>
      </w:r>
    </w:p>
    <w:p w14:paraId="557759D4" w14:textId="77777777" w:rsidR="00312F30" w:rsidRPr="00715DD4" w:rsidRDefault="00312F30" w:rsidP="00814590">
      <w:pPr>
        <w:pStyle w:val="Heading2"/>
        <w:widowControl w:val="0"/>
      </w:pPr>
      <w:bookmarkStart w:id="44" w:name="_Ref478576929"/>
      <w:r w:rsidRPr="00715DD4">
        <w:rPr>
          <w:b/>
        </w:rPr>
        <w:t xml:space="preserve">Severance: </w:t>
      </w:r>
      <w:r w:rsidRPr="00715DD4">
        <w:t xml:space="preserve">If any provision </w:t>
      </w:r>
      <w:r w:rsidR="00251345" w:rsidRPr="00715DD4">
        <w:t>(</w:t>
      </w:r>
      <w:r w:rsidRPr="00715DD4">
        <w:t xml:space="preserve">or </w:t>
      </w:r>
      <w:r w:rsidR="00251345" w:rsidRPr="00715DD4">
        <w:t xml:space="preserve">any </w:t>
      </w:r>
      <w:r w:rsidRPr="00715DD4">
        <w:t>part</w:t>
      </w:r>
      <w:r w:rsidR="00251345" w:rsidRPr="00715DD4">
        <w:t>)</w:t>
      </w:r>
      <w:r w:rsidRPr="00715DD4">
        <w:t xml:space="preserve"> of this Agreement is or becomes invalid or unenforceable it will be severed from the rest of this Agreement </w:t>
      </w:r>
      <w:r w:rsidR="00123A62" w:rsidRPr="00715DD4">
        <w:t xml:space="preserve">to the extent </w:t>
      </w:r>
      <w:r w:rsidRPr="00715DD4">
        <w:t xml:space="preserve">that it is invalid or unenforceable and no other provision of this Agreement shall be rendered invalid, unenforceable or otherwise </w:t>
      </w:r>
      <w:r w:rsidR="00123A62" w:rsidRPr="00715DD4">
        <w:t xml:space="preserve">be </w:t>
      </w:r>
      <w:r w:rsidRPr="00715DD4">
        <w:t>affected.</w:t>
      </w:r>
      <w:bookmarkEnd w:id="44"/>
    </w:p>
    <w:p w14:paraId="39A27A53" w14:textId="5F4A0A09" w:rsidR="00312F30" w:rsidRPr="00715DD4" w:rsidRDefault="00312F30" w:rsidP="00814590">
      <w:pPr>
        <w:pStyle w:val="Heading2"/>
        <w:widowControl w:val="0"/>
      </w:pPr>
      <w:r w:rsidRPr="00715DD4">
        <w:rPr>
          <w:b/>
        </w:rPr>
        <w:t>Relationship:</w:t>
      </w:r>
      <w:r w:rsidRPr="00715DD4">
        <w:t xml:space="preserve"> Nothing in this Agreement shall make either party the agent or partner of the </w:t>
      </w:r>
      <w:r w:rsidR="006721E5" w:rsidRPr="00715DD4">
        <w:t>other or</w:t>
      </w:r>
      <w:r w:rsidRPr="00715DD4">
        <w:t xml:space="preserve"> give either party the power to bind the other.</w:t>
      </w:r>
    </w:p>
    <w:p w14:paraId="6D919FD1" w14:textId="2683CD32" w:rsidR="0093610E" w:rsidRPr="00715DD4" w:rsidRDefault="00312F30" w:rsidP="002802AA">
      <w:pPr>
        <w:pStyle w:val="Heading2"/>
        <w:widowControl w:val="0"/>
      </w:pPr>
      <w:bookmarkStart w:id="45" w:name="_Ref478719420"/>
      <w:bookmarkStart w:id="46" w:name="_Ref478719720"/>
      <w:bookmarkStart w:id="47" w:name="_Ref478576917"/>
      <w:r w:rsidRPr="00715DD4">
        <w:rPr>
          <w:b/>
        </w:rPr>
        <w:t xml:space="preserve">Third Party </w:t>
      </w:r>
      <w:bookmarkStart w:id="48" w:name="_Ref478719515"/>
      <w:bookmarkEnd w:id="45"/>
      <w:bookmarkEnd w:id="46"/>
      <w:r w:rsidR="002E2783" w:rsidRPr="00715DD4">
        <w:rPr>
          <w:b/>
        </w:rPr>
        <w:t>Rights:</w:t>
      </w:r>
      <w:r w:rsidR="002802AA" w:rsidRPr="00715DD4">
        <w:t xml:space="preserve"> A</w:t>
      </w:r>
      <w:r w:rsidR="0093610E" w:rsidRPr="00715DD4">
        <w:t xml:space="preserve"> person who is not a party to this Agreement will have no rights under the </w:t>
      </w:r>
      <w:r w:rsidR="0093610E" w:rsidRPr="00715DD4">
        <w:rPr>
          <w:szCs w:val="22"/>
          <w:lang w:val="en-US"/>
        </w:rPr>
        <w:t xml:space="preserve">Contracts (Rights of Third Parties) Act 1999 to enforce any of its terms, provided that nothing in this clause </w:t>
      </w:r>
      <w:r w:rsidR="0093610E" w:rsidRPr="00715DD4">
        <w:rPr>
          <w:szCs w:val="22"/>
          <w:lang w:val="en-US"/>
        </w:rPr>
        <w:fldChar w:fldCharType="begin"/>
      </w:r>
      <w:r w:rsidR="0093610E" w:rsidRPr="00715DD4">
        <w:rPr>
          <w:szCs w:val="22"/>
          <w:lang w:val="en-US"/>
        </w:rPr>
        <w:instrText xml:space="preserve"> REF _Ref478719515 \r \h </w:instrText>
      </w:r>
      <w:r w:rsidR="00715DD4">
        <w:rPr>
          <w:szCs w:val="22"/>
          <w:lang w:val="en-US"/>
        </w:rPr>
        <w:instrText xml:space="preserve"> \* MERGEFORMAT </w:instrText>
      </w:r>
      <w:r w:rsidR="0093610E" w:rsidRPr="00715DD4">
        <w:rPr>
          <w:szCs w:val="22"/>
          <w:lang w:val="en-US"/>
        </w:rPr>
      </w:r>
      <w:r w:rsidR="0093610E" w:rsidRPr="00715DD4">
        <w:rPr>
          <w:szCs w:val="22"/>
          <w:lang w:val="en-US"/>
        </w:rPr>
        <w:fldChar w:fldCharType="separate"/>
      </w:r>
      <w:r w:rsidR="00831EAE">
        <w:rPr>
          <w:szCs w:val="22"/>
          <w:lang w:val="en-US"/>
        </w:rPr>
        <w:t>15.8</w:t>
      </w:r>
      <w:r w:rsidR="0093610E" w:rsidRPr="00715DD4">
        <w:rPr>
          <w:szCs w:val="22"/>
          <w:lang w:val="en-US"/>
        </w:rPr>
        <w:fldChar w:fldCharType="end"/>
      </w:r>
      <w:r w:rsidR="0093610E" w:rsidRPr="00715DD4">
        <w:rPr>
          <w:szCs w:val="22"/>
          <w:lang w:val="en-US"/>
        </w:rPr>
        <w:t xml:space="preserve"> shall affect any right or remedy that exist</w:t>
      </w:r>
      <w:r w:rsidR="00B635FF" w:rsidRPr="00715DD4">
        <w:rPr>
          <w:szCs w:val="22"/>
          <w:lang w:val="en-US"/>
        </w:rPr>
        <w:t>s or is available otherwise than</w:t>
      </w:r>
      <w:r w:rsidR="0093610E" w:rsidRPr="00715DD4">
        <w:rPr>
          <w:szCs w:val="22"/>
          <w:lang w:val="en-US"/>
        </w:rPr>
        <w:t xml:space="preserve"> pursuant to that Act. </w:t>
      </w:r>
    </w:p>
    <w:p w14:paraId="06ACFBE2" w14:textId="4C11B312" w:rsidR="00312F30" w:rsidRPr="00744F78" w:rsidRDefault="00312F30" w:rsidP="00814590">
      <w:pPr>
        <w:pStyle w:val="Heading2"/>
        <w:widowControl w:val="0"/>
      </w:pPr>
      <w:bookmarkStart w:id="49" w:name="_Ref456972435"/>
      <w:bookmarkEnd w:id="47"/>
      <w:bookmarkEnd w:id="48"/>
      <w:r w:rsidRPr="00715DD4">
        <w:rPr>
          <w:b/>
        </w:rPr>
        <w:t>Amendment:</w:t>
      </w:r>
      <w:r w:rsidRPr="00715DD4">
        <w:t xml:space="preserve"> This Agreement may not be amended, modified, varied or </w:t>
      </w:r>
      <w:r w:rsidRPr="00744F78">
        <w:t>supplemented except in writing signed by or on behalf of both parties.</w:t>
      </w:r>
      <w:bookmarkEnd w:id="49"/>
      <w:r w:rsidRPr="00744F78">
        <w:t xml:space="preserve">  </w:t>
      </w:r>
    </w:p>
    <w:p w14:paraId="56007B92" w14:textId="10AC46B0" w:rsidR="00275816" w:rsidRDefault="00312F30" w:rsidP="000F43A1">
      <w:pPr>
        <w:pStyle w:val="Heading2"/>
        <w:widowControl w:val="0"/>
        <w:rPr>
          <w:b/>
          <w:bCs/>
          <w:sz w:val="22"/>
          <w:szCs w:val="22"/>
        </w:rPr>
      </w:pPr>
      <w:bookmarkStart w:id="50" w:name="_Ref478576904"/>
      <w:r w:rsidRPr="00744F78">
        <w:rPr>
          <w:b/>
        </w:rPr>
        <w:t xml:space="preserve">Jurisdiction: </w:t>
      </w:r>
      <w:r w:rsidRPr="00744F78">
        <w:t>This Agreement shall be governed by and construed in accordance with English law.  The parties hereby submit to the exclusive jurisdiction of the English Courts</w:t>
      </w:r>
      <w:bookmarkEnd w:id="50"/>
      <w:r w:rsidR="000F43A1" w:rsidRPr="00744F78">
        <w:t>.</w:t>
      </w:r>
      <w:r w:rsidR="000F43A1" w:rsidRPr="00744F78">
        <w:rPr>
          <w:b/>
          <w:bCs/>
          <w:sz w:val="22"/>
          <w:szCs w:val="22"/>
        </w:rPr>
        <w:t xml:space="preserve"> </w:t>
      </w:r>
    </w:p>
    <w:p w14:paraId="5BDDF2B7" w14:textId="77777777" w:rsidR="00162BE0" w:rsidRDefault="00162BE0" w:rsidP="00162BE0">
      <w:pPr>
        <w:pStyle w:val="Heading2"/>
        <w:widowControl w:val="0"/>
        <w:numPr>
          <w:ilvl w:val="0"/>
          <w:numId w:val="0"/>
        </w:numPr>
        <w:ind w:left="360"/>
        <w:rPr>
          <w:b/>
          <w:bCs/>
          <w:sz w:val="22"/>
          <w:szCs w:val="22"/>
        </w:rPr>
        <w:sectPr w:rsidR="00162BE0" w:rsidSect="001C224D">
          <w:type w:val="continuous"/>
          <w:pgSz w:w="11906" w:h="16838"/>
          <w:pgMar w:top="1916" w:right="1440" w:bottom="1016" w:left="1440" w:header="708" w:footer="512" w:gutter="0"/>
          <w:cols w:num="2" w:space="708"/>
          <w:docGrid w:linePitch="360"/>
        </w:sectPr>
      </w:pPr>
    </w:p>
    <w:p w14:paraId="3C2076ED" w14:textId="66A4D074" w:rsidR="001C224D" w:rsidRPr="00744F78" w:rsidRDefault="001C224D" w:rsidP="00162BE0">
      <w:pPr>
        <w:pStyle w:val="Heading2"/>
        <w:widowControl w:val="0"/>
        <w:numPr>
          <w:ilvl w:val="0"/>
          <w:numId w:val="0"/>
        </w:numPr>
        <w:ind w:left="360"/>
        <w:rPr>
          <w:b/>
          <w:bCs/>
          <w:sz w:val="22"/>
          <w:szCs w:val="22"/>
        </w:rPr>
      </w:pPr>
    </w:p>
    <w:sectPr w:rsidR="001C224D" w:rsidRPr="00744F78" w:rsidSect="001C224D">
      <w:type w:val="continuous"/>
      <w:pgSz w:w="11906" w:h="16838"/>
      <w:pgMar w:top="1916" w:right="1440" w:bottom="1016" w:left="1440" w:header="708" w:footer="5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3115" w14:textId="77777777" w:rsidR="00FA68FB" w:rsidRDefault="00FA68FB" w:rsidP="00FD33E2">
      <w:r>
        <w:separator/>
      </w:r>
    </w:p>
  </w:endnote>
  <w:endnote w:type="continuationSeparator" w:id="0">
    <w:p w14:paraId="17997B60" w14:textId="77777777" w:rsidR="00FA68FB" w:rsidRDefault="00FA68FB" w:rsidP="00FD33E2">
      <w:r>
        <w:continuationSeparator/>
      </w:r>
    </w:p>
  </w:endnote>
  <w:endnote w:type="continuationNotice" w:id="1">
    <w:p w14:paraId="15AE1D8F" w14:textId="77777777" w:rsidR="00FA68FB" w:rsidRDefault="00FA6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0420" w14:textId="77777777" w:rsidR="002809AF" w:rsidRPr="00A60425" w:rsidRDefault="002809AF">
    <w:pPr>
      <w:pStyle w:val="Footer"/>
      <w:rPr>
        <w:u w:val="single"/>
      </w:rPr>
    </w:pPr>
    <w:r w:rsidRPr="00A60425">
      <w:rPr>
        <w:u w:val="single"/>
      </w:rPr>
      <w:tab/>
    </w:r>
    <w:r w:rsidRPr="00A60425">
      <w:rPr>
        <w:u w:val="single"/>
      </w:rPr>
      <w:tab/>
    </w:r>
  </w:p>
  <w:p w14:paraId="657D4093" w14:textId="77777777" w:rsidR="002809AF" w:rsidRPr="00A81549" w:rsidRDefault="002809AF">
    <w:pPr>
      <w:pStyle w:val="Footer"/>
      <w:rPr>
        <w:noProof/>
        <w:sz w:val="15"/>
        <w:szCs w:val="15"/>
      </w:rPr>
    </w:pPr>
  </w:p>
  <w:p w14:paraId="11233879" w14:textId="246B4933" w:rsidR="002809AF" w:rsidRDefault="002809AF">
    <w:pPr>
      <w:pStyle w:val="Footer"/>
    </w:pPr>
    <w:r w:rsidRPr="00A81549">
      <w:rPr>
        <w:sz w:val="15"/>
        <w:szCs w:val="15"/>
      </w:rPr>
      <w:fldChar w:fldCharType="begin"/>
    </w:r>
    <w:r w:rsidRPr="00A81549">
      <w:rPr>
        <w:sz w:val="15"/>
        <w:szCs w:val="15"/>
      </w:rPr>
      <w:instrText xml:space="preserve"> FILENAME   \* MERGEFORMAT </w:instrText>
    </w:r>
    <w:r w:rsidRPr="00A81549">
      <w:rPr>
        <w:sz w:val="15"/>
        <w:szCs w:val="15"/>
      </w:rPr>
      <w:fldChar w:fldCharType="separate"/>
    </w:r>
    <w:r w:rsidR="005A78B9">
      <w:rPr>
        <w:noProof/>
        <w:sz w:val="15"/>
        <w:szCs w:val="15"/>
      </w:rPr>
      <w:t>Mobile_Device_Supply_Agreement_v2.1_25092020.docx</w:t>
    </w:r>
    <w:r w:rsidRPr="00A81549">
      <w:rPr>
        <w:noProof/>
        <w:sz w:val="15"/>
        <w:szCs w:val="15"/>
      </w:rPr>
      <w:fldChar w:fldCharType="end"/>
    </w:r>
    <w:r>
      <w:rPr>
        <w:sz w:val="15"/>
        <w:szCs w:val="15"/>
      </w:rPr>
      <w:tab/>
      <w:t xml:space="preserve">Page </w:t>
    </w:r>
    <w:r w:rsidRPr="00A81549">
      <w:rPr>
        <w:sz w:val="15"/>
        <w:szCs w:val="15"/>
      </w:rPr>
      <w:t xml:space="preserve"> </w:t>
    </w:r>
    <w:r w:rsidRPr="00A81549">
      <w:rPr>
        <w:sz w:val="15"/>
        <w:szCs w:val="15"/>
      </w:rPr>
      <w:fldChar w:fldCharType="begin"/>
    </w:r>
    <w:r w:rsidRPr="00A81549">
      <w:rPr>
        <w:sz w:val="15"/>
        <w:szCs w:val="15"/>
      </w:rPr>
      <w:instrText xml:space="preserve"> PAGE   \* MERGEFORMAT </w:instrText>
    </w:r>
    <w:r w:rsidRPr="00A81549">
      <w:rPr>
        <w:sz w:val="15"/>
        <w:szCs w:val="15"/>
      </w:rPr>
      <w:fldChar w:fldCharType="separate"/>
    </w:r>
    <w:r w:rsidR="00611328">
      <w:rPr>
        <w:noProof/>
        <w:sz w:val="15"/>
        <w:szCs w:val="15"/>
      </w:rPr>
      <w:t>1</w:t>
    </w:r>
    <w:r w:rsidRPr="00A81549">
      <w:rPr>
        <w:sz w:val="15"/>
        <w:szCs w:val="15"/>
      </w:rPr>
      <w:fldChar w:fldCharType="end"/>
    </w:r>
    <w:r w:rsidRPr="00A81549">
      <w:rPr>
        <w:sz w:val="15"/>
        <w:szCs w:val="15"/>
      </w:rPr>
      <w:t xml:space="preserve"> of </w:t>
    </w:r>
    <w:r w:rsidRPr="00A81549">
      <w:rPr>
        <w:sz w:val="15"/>
        <w:szCs w:val="15"/>
      </w:rPr>
      <w:fldChar w:fldCharType="begin"/>
    </w:r>
    <w:r w:rsidRPr="00A81549">
      <w:rPr>
        <w:sz w:val="15"/>
        <w:szCs w:val="15"/>
      </w:rPr>
      <w:instrText xml:space="preserve"> NUMPAGES   \* MERGEFORMAT </w:instrText>
    </w:r>
    <w:r w:rsidRPr="00A81549">
      <w:rPr>
        <w:sz w:val="15"/>
        <w:szCs w:val="15"/>
      </w:rPr>
      <w:fldChar w:fldCharType="separate"/>
    </w:r>
    <w:r w:rsidR="00611328">
      <w:rPr>
        <w:noProof/>
        <w:sz w:val="15"/>
        <w:szCs w:val="15"/>
      </w:rPr>
      <w:t>2</w:t>
    </w:r>
    <w:r w:rsidRPr="00A81549">
      <w:rPr>
        <w:noProof/>
        <w:sz w:val="15"/>
        <w:szCs w:val="15"/>
      </w:rPr>
      <w:fldChar w:fldCharType="end"/>
    </w:r>
    <w:r w:rsidRPr="00A81549">
      <w:rPr>
        <w:sz w:val="15"/>
        <w:szCs w:val="15"/>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DD31D" w14:textId="77777777" w:rsidR="00FA68FB" w:rsidRDefault="00FA68FB" w:rsidP="00FD33E2">
      <w:r>
        <w:separator/>
      </w:r>
    </w:p>
  </w:footnote>
  <w:footnote w:type="continuationSeparator" w:id="0">
    <w:p w14:paraId="2A539FBC" w14:textId="77777777" w:rsidR="00FA68FB" w:rsidRDefault="00FA68FB" w:rsidP="00FD33E2">
      <w:r>
        <w:continuationSeparator/>
      </w:r>
    </w:p>
  </w:footnote>
  <w:footnote w:type="continuationNotice" w:id="1">
    <w:p w14:paraId="28E53585" w14:textId="77777777" w:rsidR="00FA68FB" w:rsidRDefault="00FA6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5F36" w14:textId="0515CCDA" w:rsidR="002809AF" w:rsidRDefault="000A0F13" w:rsidP="002E75BA">
    <w:pPr>
      <w:pStyle w:val="Header"/>
      <w:jc w:val="center"/>
    </w:pPr>
    <w:r w:rsidRPr="00BA45D1">
      <w:rPr>
        <w:noProof/>
        <w:lang w:eastAsia="en-GB"/>
      </w:rPr>
      <w:drawing>
        <wp:inline distT="0" distB="0" distL="0" distR="0" wp14:anchorId="1BA03798" wp14:editId="56F80CF4">
          <wp:extent cx="1194435" cy="612140"/>
          <wp:effectExtent l="0" t="0" r="0" b="0"/>
          <wp:docPr id="4" name="Picture 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612140"/>
                  </a:xfrm>
                  <a:prstGeom prst="rect">
                    <a:avLst/>
                  </a:prstGeom>
                  <a:noFill/>
                  <a:ln>
                    <a:noFill/>
                  </a:ln>
                </pic:spPr>
              </pic:pic>
            </a:graphicData>
          </a:graphic>
        </wp:inline>
      </w:drawing>
    </w:r>
  </w:p>
  <w:p w14:paraId="416976EE" w14:textId="77777777" w:rsidR="002809AF" w:rsidRPr="006C6EFE" w:rsidRDefault="002809AF" w:rsidP="006C6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FD61DD4"/>
    <w:lvl w:ilvl="0">
      <w:start w:val="1"/>
      <w:numFmt w:val="decimal"/>
      <w:pStyle w:val="Heading1"/>
      <w:lvlText w:val="%1."/>
      <w:lvlJc w:val="left"/>
      <w:pPr>
        <w:tabs>
          <w:tab w:val="num" w:pos="360"/>
        </w:tabs>
        <w:ind w:left="288" w:hanging="288"/>
      </w:pPr>
      <w:rPr>
        <w:rFonts w:ascii="Times New Roman" w:hAnsi="Times New Roman" w:cs="Times New Roman" w:hint="default"/>
        <w:b/>
        <w:i w:val="0"/>
        <w:sz w:val="15"/>
      </w:rPr>
    </w:lvl>
    <w:lvl w:ilvl="1">
      <w:start w:val="1"/>
      <w:numFmt w:val="decimal"/>
      <w:pStyle w:val="Heading2"/>
      <w:lvlText w:val="%1.%2"/>
      <w:lvlJc w:val="left"/>
      <w:pPr>
        <w:tabs>
          <w:tab w:val="num" w:pos="360"/>
        </w:tabs>
        <w:ind w:left="360" w:hanging="360"/>
      </w:pPr>
      <w:rPr>
        <w:rFonts w:ascii="Times New Roman" w:hAnsi="Times New Roman" w:cs="Times New Roman" w:hint="default"/>
        <w:b w:val="0"/>
        <w:i w:val="0"/>
        <w:sz w:val="15"/>
      </w:rPr>
    </w:lvl>
    <w:lvl w:ilvl="2">
      <w:start w:val="1"/>
      <w:numFmt w:val="decimal"/>
      <w:pStyle w:val="Heading3"/>
      <w:lvlText w:val="%1.%2.%3"/>
      <w:lvlJc w:val="left"/>
      <w:pPr>
        <w:tabs>
          <w:tab w:val="num" w:pos="765"/>
        </w:tabs>
        <w:ind w:left="765" w:hanging="408"/>
      </w:pPr>
      <w:rPr>
        <w:rFonts w:ascii="Times New Roman" w:hAnsi="Times New Roman" w:cs="Times New Roman" w:hint="default"/>
        <w:b w:val="0"/>
        <w:i w:val="0"/>
        <w:sz w:val="15"/>
      </w:rPr>
    </w:lvl>
    <w:lvl w:ilvl="3">
      <w:start w:val="1"/>
      <w:numFmt w:val="decimal"/>
      <w:pStyle w:val="Heading4"/>
      <w:lvlText w:val="%1.%2.%3.%4"/>
      <w:lvlJc w:val="left"/>
      <w:pPr>
        <w:tabs>
          <w:tab w:val="num" w:pos="0"/>
        </w:tabs>
        <w:ind w:left="2880" w:hanging="737"/>
      </w:pPr>
      <w:rPr>
        <w:rFonts w:cs="Times New Roman" w:hint="default"/>
      </w:rPr>
    </w:lvl>
    <w:lvl w:ilvl="4">
      <w:start w:val="1"/>
      <w:numFmt w:val="lowerLetter"/>
      <w:pStyle w:val="Heading5"/>
      <w:lvlText w:val="(%5)"/>
      <w:lvlJc w:val="left"/>
      <w:pPr>
        <w:tabs>
          <w:tab w:val="num" w:pos="0"/>
        </w:tabs>
        <w:ind w:left="3600" w:hanging="737"/>
      </w:pPr>
      <w:rPr>
        <w:rFonts w:cs="Times New Roman" w:hint="default"/>
      </w:rPr>
    </w:lvl>
    <w:lvl w:ilvl="5">
      <w:start w:val="1"/>
      <w:numFmt w:val="lowerRoman"/>
      <w:pStyle w:val="Heading6"/>
      <w:lvlText w:val="(%6)"/>
      <w:lvlJc w:val="left"/>
      <w:pPr>
        <w:tabs>
          <w:tab w:val="num" w:pos="0"/>
        </w:tabs>
        <w:ind w:left="4320" w:hanging="737"/>
      </w:pPr>
      <w:rPr>
        <w:rFonts w:cs="Times New Roman" w:hint="default"/>
      </w:rPr>
    </w:lvl>
    <w:lvl w:ilvl="6">
      <w:start w:val="1"/>
      <w:numFmt w:val="decimal"/>
      <w:pStyle w:val="Heading7"/>
      <w:lvlText w:val="(%7)"/>
      <w:lvlJc w:val="left"/>
      <w:pPr>
        <w:tabs>
          <w:tab w:val="num" w:pos="0"/>
        </w:tabs>
        <w:ind w:left="5040" w:hanging="737"/>
      </w:pPr>
      <w:rPr>
        <w:rFonts w:cs="Times New Roman" w:hint="default"/>
      </w:rPr>
    </w:lvl>
    <w:lvl w:ilvl="7">
      <w:start w:val="1"/>
      <w:numFmt w:val="none"/>
      <w:pStyle w:val="Heading8"/>
      <w:suff w:val="nothing"/>
      <w:lvlText w:val=""/>
      <w:lvlJc w:val="left"/>
      <w:pPr>
        <w:ind w:left="0" w:hanging="720"/>
      </w:pPr>
      <w:rPr>
        <w:rFonts w:cs="Times New Roman" w:hint="default"/>
      </w:rPr>
    </w:lvl>
    <w:lvl w:ilvl="8">
      <w:start w:val="1"/>
      <w:numFmt w:val="none"/>
      <w:pStyle w:val="Heading9"/>
      <w:suff w:val="nothing"/>
      <w:lvlText w:val=""/>
      <w:lvlJc w:val="left"/>
      <w:pPr>
        <w:ind w:left="0" w:hanging="720"/>
      </w:pPr>
      <w:rPr>
        <w:rFonts w:cs="Times New Roman"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121B3C"/>
    <w:multiLevelType w:val="hybridMultilevel"/>
    <w:tmpl w:val="0888B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D658F6"/>
    <w:multiLevelType w:val="hybridMultilevel"/>
    <w:tmpl w:val="02968E02"/>
    <w:lvl w:ilvl="0" w:tplc="E77888A8">
      <w:start w:val="1"/>
      <w:numFmt w:val="decimal"/>
      <w:lvlText w:val="%1."/>
      <w:lvlJc w:val="left"/>
      <w:pPr>
        <w:ind w:left="2514" w:hanging="360"/>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 w15:restartNumberingAfterBreak="0">
    <w:nsid w:val="2BAB7FDC"/>
    <w:multiLevelType w:val="multilevel"/>
    <w:tmpl w:val="E7F0831E"/>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tabs>
          <w:tab w:val="num" w:pos="504"/>
        </w:tabs>
        <w:ind w:left="765" w:hanging="408"/>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left="0" w:hanging="720"/>
      </w:pPr>
      <w:rPr>
        <w:rFonts w:cs="Times New Roman" w:hint="default"/>
      </w:rPr>
    </w:lvl>
    <w:lvl w:ilvl="8">
      <w:start w:val="1"/>
      <w:numFmt w:val="none"/>
      <w:suff w:val="nothing"/>
      <w:lvlText w:val=""/>
      <w:lvlJc w:val="left"/>
      <w:pPr>
        <w:ind w:left="0" w:hanging="720"/>
      </w:pPr>
      <w:rPr>
        <w:rFonts w:cs="Times New Roman" w:hint="default"/>
      </w:rPr>
    </w:lvl>
  </w:abstractNum>
  <w:abstractNum w:abstractNumId="5" w15:restartNumberingAfterBreak="0">
    <w:nsid w:val="2D606FA8"/>
    <w:multiLevelType w:val="multilevel"/>
    <w:tmpl w:val="95821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0A547B"/>
    <w:multiLevelType w:val="multilevel"/>
    <w:tmpl w:val="AB207DB2"/>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tabs>
          <w:tab w:val="num" w:pos="504"/>
        </w:tabs>
        <w:ind w:left="714" w:hanging="357"/>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left="0" w:hanging="720"/>
      </w:pPr>
      <w:rPr>
        <w:rFonts w:cs="Times New Roman" w:hint="default"/>
      </w:rPr>
    </w:lvl>
    <w:lvl w:ilvl="8">
      <w:start w:val="1"/>
      <w:numFmt w:val="none"/>
      <w:suff w:val="nothing"/>
      <w:lvlText w:val=""/>
      <w:lvlJc w:val="left"/>
      <w:pPr>
        <w:ind w:left="0" w:hanging="720"/>
      </w:pPr>
      <w:rPr>
        <w:rFonts w:cs="Times New Roman" w:hint="default"/>
      </w:rPr>
    </w:lvl>
  </w:abstractNum>
  <w:abstractNum w:abstractNumId="7" w15:restartNumberingAfterBreak="0">
    <w:nsid w:val="33CC47A4"/>
    <w:multiLevelType w:val="hybridMultilevel"/>
    <w:tmpl w:val="43600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3B5BC1"/>
    <w:multiLevelType w:val="multilevel"/>
    <w:tmpl w:val="45C63E4E"/>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tabs>
          <w:tab w:val="num" w:pos="504"/>
        </w:tabs>
        <w:ind w:left="357" w:firstLine="0"/>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left="0" w:hanging="720"/>
      </w:pPr>
      <w:rPr>
        <w:rFonts w:cs="Times New Roman" w:hint="default"/>
      </w:rPr>
    </w:lvl>
    <w:lvl w:ilvl="8">
      <w:start w:val="1"/>
      <w:numFmt w:val="none"/>
      <w:suff w:val="nothing"/>
      <w:lvlText w:val=""/>
      <w:lvlJc w:val="left"/>
      <w:pPr>
        <w:ind w:left="0" w:hanging="720"/>
      </w:pPr>
      <w:rPr>
        <w:rFonts w:cs="Times New Roman" w:hint="default"/>
      </w:rPr>
    </w:lvl>
  </w:abstractNum>
  <w:abstractNum w:abstractNumId="9" w15:restartNumberingAfterBreak="0">
    <w:nsid w:val="467374F2"/>
    <w:multiLevelType w:val="multilevel"/>
    <w:tmpl w:val="62E45FDC"/>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ind w:left="765" w:hanging="408"/>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left="0" w:hanging="720"/>
      </w:pPr>
      <w:rPr>
        <w:rFonts w:cs="Times New Roman" w:hint="default"/>
      </w:rPr>
    </w:lvl>
    <w:lvl w:ilvl="8">
      <w:start w:val="1"/>
      <w:numFmt w:val="none"/>
      <w:suff w:val="nothing"/>
      <w:lvlText w:val=""/>
      <w:lvlJc w:val="left"/>
      <w:pPr>
        <w:ind w:left="0" w:hanging="720"/>
      </w:pPr>
      <w:rPr>
        <w:rFonts w:cs="Times New Roman" w:hint="default"/>
      </w:rPr>
    </w:lvl>
  </w:abstractNum>
  <w:abstractNum w:abstractNumId="10" w15:restartNumberingAfterBreak="0">
    <w:nsid w:val="480C33B8"/>
    <w:multiLevelType w:val="multilevel"/>
    <w:tmpl w:val="B5E0F63E"/>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tabs>
          <w:tab w:val="num" w:pos="504"/>
        </w:tabs>
        <w:ind w:left="737" w:hanging="380"/>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left="0" w:hanging="720"/>
      </w:pPr>
      <w:rPr>
        <w:rFonts w:cs="Times New Roman" w:hint="default"/>
      </w:rPr>
    </w:lvl>
    <w:lvl w:ilvl="8">
      <w:start w:val="1"/>
      <w:numFmt w:val="none"/>
      <w:suff w:val="nothing"/>
      <w:lvlText w:val=""/>
      <w:lvlJc w:val="left"/>
      <w:pPr>
        <w:ind w:left="0" w:hanging="720"/>
      </w:pPr>
      <w:rPr>
        <w:rFonts w:cs="Times New Roman" w:hint="default"/>
      </w:rPr>
    </w:lvl>
  </w:abstractNum>
  <w:abstractNum w:abstractNumId="11" w15:restartNumberingAfterBreak="0">
    <w:nsid w:val="599149B4"/>
    <w:multiLevelType w:val="multilevel"/>
    <w:tmpl w:val="F7460374"/>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tabs>
          <w:tab w:val="num" w:pos="504"/>
        </w:tabs>
        <w:ind w:left="504" w:hanging="504"/>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hanging="720"/>
      </w:pPr>
      <w:rPr>
        <w:rFonts w:cs="Times New Roman" w:hint="default"/>
      </w:rPr>
    </w:lvl>
    <w:lvl w:ilvl="8">
      <w:start w:val="1"/>
      <w:numFmt w:val="none"/>
      <w:suff w:val="nothing"/>
      <w:lvlText w:val=""/>
      <w:lvlJc w:val="left"/>
      <w:pPr>
        <w:ind w:hanging="720"/>
      </w:pPr>
      <w:rPr>
        <w:rFonts w:cs="Times New Roman" w:hint="default"/>
      </w:rPr>
    </w:lvl>
  </w:abstractNum>
  <w:abstractNum w:abstractNumId="12" w15:restartNumberingAfterBreak="0">
    <w:nsid w:val="5CAE3908"/>
    <w:multiLevelType w:val="multilevel"/>
    <w:tmpl w:val="3B6885FC"/>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ind w:left="765" w:hanging="408"/>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left="0" w:hanging="720"/>
      </w:pPr>
      <w:rPr>
        <w:rFonts w:cs="Times New Roman" w:hint="default"/>
      </w:rPr>
    </w:lvl>
    <w:lvl w:ilvl="8">
      <w:start w:val="1"/>
      <w:numFmt w:val="none"/>
      <w:suff w:val="nothing"/>
      <w:lvlText w:val=""/>
      <w:lvlJc w:val="left"/>
      <w:pPr>
        <w:ind w:left="0" w:hanging="720"/>
      </w:pPr>
      <w:rPr>
        <w:rFonts w:cs="Times New Roman" w:hint="default"/>
      </w:rPr>
    </w:lvl>
  </w:abstractNum>
  <w:abstractNum w:abstractNumId="13" w15:restartNumberingAfterBreak="0">
    <w:nsid w:val="5F4C31ED"/>
    <w:multiLevelType w:val="hybridMultilevel"/>
    <w:tmpl w:val="5664B096"/>
    <w:lvl w:ilvl="0" w:tplc="EB92DB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313A8E"/>
    <w:multiLevelType w:val="hybridMultilevel"/>
    <w:tmpl w:val="F536D500"/>
    <w:lvl w:ilvl="0" w:tplc="66C29F9E">
      <w:start w:val="1"/>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6" w15:restartNumberingAfterBreak="0">
    <w:nsid w:val="669B21A4"/>
    <w:multiLevelType w:val="hybridMultilevel"/>
    <w:tmpl w:val="E7BC9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B2D81"/>
    <w:multiLevelType w:val="multilevel"/>
    <w:tmpl w:val="F7460374"/>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tabs>
          <w:tab w:val="num" w:pos="504"/>
        </w:tabs>
        <w:ind w:left="504" w:hanging="504"/>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hanging="720"/>
      </w:pPr>
      <w:rPr>
        <w:rFonts w:cs="Times New Roman" w:hint="default"/>
      </w:rPr>
    </w:lvl>
    <w:lvl w:ilvl="8">
      <w:start w:val="1"/>
      <w:numFmt w:val="none"/>
      <w:suff w:val="nothing"/>
      <w:lvlText w:val=""/>
      <w:lvlJc w:val="left"/>
      <w:pPr>
        <w:ind w:hanging="720"/>
      </w:pPr>
      <w:rPr>
        <w:rFonts w:cs="Times New Roman" w:hint="default"/>
      </w:rPr>
    </w:lvl>
  </w:abstractNum>
  <w:abstractNum w:abstractNumId="18" w15:restartNumberingAfterBreak="0">
    <w:nsid w:val="7C923980"/>
    <w:multiLevelType w:val="multilevel"/>
    <w:tmpl w:val="0688F772"/>
    <w:lvl w:ilvl="0">
      <w:start w:val="1"/>
      <w:numFmt w:val="decimal"/>
      <w:lvlText w:val="%1."/>
      <w:lvlJc w:val="left"/>
      <w:pPr>
        <w:tabs>
          <w:tab w:val="num" w:pos="360"/>
        </w:tabs>
        <w:ind w:left="288" w:hanging="288"/>
      </w:pPr>
      <w:rPr>
        <w:rFonts w:ascii="Times New Roman" w:hAnsi="Times New Roman" w:cs="Times New Roman" w:hint="default"/>
        <w:b/>
        <w:i w:val="0"/>
        <w:sz w:val="15"/>
      </w:rPr>
    </w:lvl>
    <w:lvl w:ilvl="1">
      <w:start w:val="1"/>
      <w:numFmt w:val="decimal"/>
      <w:lvlText w:val="%1.%2"/>
      <w:lvlJc w:val="left"/>
      <w:pPr>
        <w:tabs>
          <w:tab w:val="num" w:pos="360"/>
        </w:tabs>
        <w:ind w:left="360" w:hanging="360"/>
      </w:pPr>
      <w:rPr>
        <w:rFonts w:ascii="Times New Roman" w:hAnsi="Times New Roman" w:cs="Times New Roman" w:hint="default"/>
        <w:b w:val="0"/>
        <w:i w:val="0"/>
        <w:sz w:val="15"/>
      </w:rPr>
    </w:lvl>
    <w:lvl w:ilvl="2">
      <w:start w:val="1"/>
      <w:numFmt w:val="decimal"/>
      <w:lvlText w:val="%1.%2.%3"/>
      <w:lvlJc w:val="left"/>
      <w:pPr>
        <w:tabs>
          <w:tab w:val="num" w:pos="357"/>
        </w:tabs>
        <w:ind w:left="765" w:hanging="408"/>
      </w:pPr>
      <w:rPr>
        <w:rFonts w:ascii="Times New Roman" w:hAnsi="Times New Roman" w:cs="Times New Roman" w:hint="default"/>
        <w:b w:val="0"/>
        <w:i w:val="0"/>
        <w:sz w:val="15"/>
      </w:rPr>
    </w:lvl>
    <w:lvl w:ilvl="3">
      <w:start w:val="1"/>
      <w:numFmt w:val="decimal"/>
      <w:lvlText w:val="%1.%2.%3.%4"/>
      <w:lvlJc w:val="left"/>
      <w:pPr>
        <w:tabs>
          <w:tab w:val="num" w:pos="0"/>
        </w:tabs>
        <w:ind w:left="2880" w:hanging="737"/>
      </w:pPr>
      <w:rPr>
        <w:rFonts w:cs="Times New Roman" w:hint="default"/>
      </w:rPr>
    </w:lvl>
    <w:lvl w:ilvl="4">
      <w:start w:val="1"/>
      <w:numFmt w:val="lowerLetter"/>
      <w:lvlText w:val="(%5)"/>
      <w:lvlJc w:val="left"/>
      <w:pPr>
        <w:tabs>
          <w:tab w:val="num" w:pos="0"/>
        </w:tabs>
        <w:ind w:left="3600" w:hanging="737"/>
      </w:pPr>
      <w:rPr>
        <w:rFonts w:cs="Times New Roman" w:hint="default"/>
      </w:rPr>
    </w:lvl>
    <w:lvl w:ilvl="5">
      <w:start w:val="1"/>
      <w:numFmt w:val="lowerRoman"/>
      <w:lvlText w:val="(%6)"/>
      <w:lvlJc w:val="left"/>
      <w:pPr>
        <w:tabs>
          <w:tab w:val="num" w:pos="0"/>
        </w:tabs>
        <w:ind w:left="4320" w:hanging="737"/>
      </w:pPr>
      <w:rPr>
        <w:rFonts w:cs="Times New Roman" w:hint="default"/>
      </w:rPr>
    </w:lvl>
    <w:lvl w:ilvl="6">
      <w:start w:val="1"/>
      <w:numFmt w:val="decimal"/>
      <w:lvlText w:val="(%7)"/>
      <w:lvlJc w:val="left"/>
      <w:pPr>
        <w:tabs>
          <w:tab w:val="num" w:pos="0"/>
        </w:tabs>
        <w:ind w:left="5040" w:hanging="737"/>
      </w:pPr>
      <w:rPr>
        <w:rFonts w:cs="Times New Roman" w:hint="default"/>
      </w:rPr>
    </w:lvl>
    <w:lvl w:ilvl="7">
      <w:start w:val="1"/>
      <w:numFmt w:val="none"/>
      <w:suff w:val="nothing"/>
      <w:lvlText w:val=""/>
      <w:lvlJc w:val="left"/>
      <w:pPr>
        <w:ind w:left="0" w:hanging="720"/>
      </w:pPr>
      <w:rPr>
        <w:rFonts w:cs="Times New Roman" w:hint="default"/>
      </w:rPr>
    </w:lvl>
    <w:lvl w:ilvl="8">
      <w:start w:val="1"/>
      <w:numFmt w:val="none"/>
      <w:suff w:val="nothing"/>
      <w:lvlText w:val=""/>
      <w:lvlJc w:val="left"/>
      <w:pPr>
        <w:ind w:left="0" w:hanging="720"/>
      </w:pPr>
      <w:rPr>
        <w:rFonts w:cs="Times New Roman" w:hint="default"/>
      </w:rPr>
    </w:lvl>
  </w:abstractNum>
  <w:num w:numId="1">
    <w:abstractNumId w:val="0"/>
  </w:num>
  <w:num w:numId="2">
    <w:abstractNumId w:val="14"/>
  </w:num>
  <w:num w:numId="3">
    <w:abstractNumId w:val="3"/>
  </w:num>
  <w:num w:numId="4">
    <w:abstractNumId w:val="13"/>
  </w:num>
  <w:num w:numId="5">
    <w:abstractNumId w:val="16"/>
  </w:num>
  <w:num w:numId="6">
    <w:abstractNumId w:val="0"/>
  </w:num>
  <w:num w:numId="7">
    <w:abstractNumId w:val="0"/>
  </w:num>
  <w:num w:numId="8">
    <w:abstractNumId w:val="0"/>
  </w:num>
  <w:num w:numId="9">
    <w:abstractNumId w:val="7"/>
  </w:num>
  <w:num w:numId="10">
    <w:abstractNumId w:val="17"/>
  </w:num>
  <w:num w:numId="11">
    <w:abstractNumId w:val="11"/>
  </w:num>
  <w:num w:numId="12">
    <w:abstractNumId w:val="8"/>
  </w:num>
  <w:num w:numId="13">
    <w:abstractNumId w:val="6"/>
  </w:num>
  <w:num w:numId="14">
    <w:abstractNumId w:val="10"/>
  </w:num>
  <w:num w:numId="15">
    <w:abstractNumId w:val="4"/>
  </w:num>
  <w:num w:numId="16">
    <w:abstractNumId w:val="18"/>
  </w:num>
  <w:num w:numId="17">
    <w:abstractNumId w:val="9"/>
  </w:num>
  <w:num w:numId="18">
    <w:abstractNumId w:val="12"/>
  </w:num>
  <w:num w:numId="19">
    <w:abstractNumId w:val="5"/>
  </w:num>
  <w:num w:numId="20">
    <w:abstractNumId w:val="2"/>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30"/>
    <w:rsid w:val="00000422"/>
    <w:rsid w:val="000026BE"/>
    <w:rsid w:val="00002E5F"/>
    <w:rsid w:val="00004F03"/>
    <w:rsid w:val="00006CCB"/>
    <w:rsid w:val="00007268"/>
    <w:rsid w:val="000072AC"/>
    <w:rsid w:val="00010248"/>
    <w:rsid w:val="00010830"/>
    <w:rsid w:val="00011537"/>
    <w:rsid w:val="0001196C"/>
    <w:rsid w:val="00011972"/>
    <w:rsid w:val="00012638"/>
    <w:rsid w:val="00013D0A"/>
    <w:rsid w:val="00016A63"/>
    <w:rsid w:val="00017561"/>
    <w:rsid w:val="00017932"/>
    <w:rsid w:val="0002064C"/>
    <w:rsid w:val="0002373C"/>
    <w:rsid w:val="00024AC0"/>
    <w:rsid w:val="000250E4"/>
    <w:rsid w:val="000254B2"/>
    <w:rsid w:val="00027478"/>
    <w:rsid w:val="00027519"/>
    <w:rsid w:val="00030000"/>
    <w:rsid w:val="0003015D"/>
    <w:rsid w:val="000306C4"/>
    <w:rsid w:val="000335C5"/>
    <w:rsid w:val="00033B5E"/>
    <w:rsid w:val="000340F2"/>
    <w:rsid w:val="00035AE7"/>
    <w:rsid w:val="00036373"/>
    <w:rsid w:val="00036B37"/>
    <w:rsid w:val="00040706"/>
    <w:rsid w:val="00041E73"/>
    <w:rsid w:val="00043C0E"/>
    <w:rsid w:val="00046294"/>
    <w:rsid w:val="00051768"/>
    <w:rsid w:val="00052547"/>
    <w:rsid w:val="00052CB3"/>
    <w:rsid w:val="00052FC4"/>
    <w:rsid w:val="00053E56"/>
    <w:rsid w:val="0005435E"/>
    <w:rsid w:val="000548C4"/>
    <w:rsid w:val="00056BDB"/>
    <w:rsid w:val="00056C65"/>
    <w:rsid w:val="00057579"/>
    <w:rsid w:val="000605A1"/>
    <w:rsid w:val="00062770"/>
    <w:rsid w:val="000628D2"/>
    <w:rsid w:val="000638D2"/>
    <w:rsid w:val="00063F34"/>
    <w:rsid w:val="00064201"/>
    <w:rsid w:val="000659A7"/>
    <w:rsid w:val="0006618D"/>
    <w:rsid w:val="000713A4"/>
    <w:rsid w:val="00073ACA"/>
    <w:rsid w:val="000740EC"/>
    <w:rsid w:val="00074A60"/>
    <w:rsid w:val="00074E17"/>
    <w:rsid w:val="000755DD"/>
    <w:rsid w:val="000759E2"/>
    <w:rsid w:val="000761AF"/>
    <w:rsid w:val="0007698F"/>
    <w:rsid w:val="00077101"/>
    <w:rsid w:val="0007742E"/>
    <w:rsid w:val="0008010D"/>
    <w:rsid w:val="000816A6"/>
    <w:rsid w:val="00081B4C"/>
    <w:rsid w:val="00082743"/>
    <w:rsid w:val="000828D9"/>
    <w:rsid w:val="0008431D"/>
    <w:rsid w:val="0008491F"/>
    <w:rsid w:val="0008564E"/>
    <w:rsid w:val="00090D07"/>
    <w:rsid w:val="00090DB4"/>
    <w:rsid w:val="0009121F"/>
    <w:rsid w:val="0009163F"/>
    <w:rsid w:val="00092496"/>
    <w:rsid w:val="00094493"/>
    <w:rsid w:val="00094FF0"/>
    <w:rsid w:val="00096682"/>
    <w:rsid w:val="00096A6B"/>
    <w:rsid w:val="00097BB3"/>
    <w:rsid w:val="000A0BB9"/>
    <w:rsid w:val="000A0F13"/>
    <w:rsid w:val="000A166F"/>
    <w:rsid w:val="000A266D"/>
    <w:rsid w:val="000A4ED4"/>
    <w:rsid w:val="000A6AFB"/>
    <w:rsid w:val="000A7C22"/>
    <w:rsid w:val="000B1292"/>
    <w:rsid w:val="000B21A5"/>
    <w:rsid w:val="000B4D3E"/>
    <w:rsid w:val="000B4FC2"/>
    <w:rsid w:val="000B71B3"/>
    <w:rsid w:val="000B77E5"/>
    <w:rsid w:val="000C376A"/>
    <w:rsid w:val="000C4478"/>
    <w:rsid w:val="000C643A"/>
    <w:rsid w:val="000C7740"/>
    <w:rsid w:val="000D0B73"/>
    <w:rsid w:val="000D1532"/>
    <w:rsid w:val="000D2D45"/>
    <w:rsid w:val="000D4092"/>
    <w:rsid w:val="000D60B6"/>
    <w:rsid w:val="000D7379"/>
    <w:rsid w:val="000D779B"/>
    <w:rsid w:val="000E41CE"/>
    <w:rsid w:val="000E4904"/>
    <w:rsid w:val="000F285E"/>
    <w:rsid w:val="000F3CA5"/>
    <w:rsid w:val="000F43A1"/>
    <w:rsid w:val="000F4D06"/>
    <w:rsid w:val="000F7AD7"/>
    <w:rsid w:val="001008D1"/>
    <w:rsid w:val="00104985"/>
    <w:rsid w:val="001049AD"/>
    <w:rsid w:val="00104B8F"/>
    <w:rsid w:val="00107DF7"/>
    <w:rsid w:val="00107F57"/>
    <w:rsid w:val="00107F97"/>
    <w:rsid w:val="001108C9"/>
    <w:rsid w:val="00111D20"/>
    <w:rsid w:val="00112AC6"/>
    <w:rsid w:val="00112D9B"/>
    <w:rsid w:val="00114430"/>
    <w:rsid w:val="001145F2"/>
    <w:rsid w:val="00117E66"/>
    <w:rsid w:val="001201E3"/>
    <w:rsid w:val="00120E90"/>
    <w:rsid w:val="00123A62"/>
    <w:rsid w:val="00124B55"/>
    <w:rsid w:val="00124E48"/>
    <w:rsid w:val="0012667C"/>
    <w:rsid w:val="00126FE1"/>
    <w:rsid w:val="00130849"/>
    <w:rsid w:val="00130ADD"/>
    <w:rsid w:val="00133E62"/>
    <w:rsid w:val="001340E4"/>
    <w:rsid w:val="001352DE"/>
    <w:rsid w:val="0013557F"/>
    <w:rsid w:val="00141C5B"/>
    <w:rsid w:val="0014433A"/>
    <w:rsid w:val="00144B1E"/>
    <w:rsid w:val="001457A7"/>
    <w:rsid w:val="00147442"/>
    <w:rsid w:val="00150926"/>
    <w:rsid w:val="00151F50"/>
    <w:rsid w:val="00154305"/>
    <w:rsid w:val="00155D1D"/>
    <w:rsid w:val="00157B32"/>
    <w:rsid w:val="00162BE0"/>
    <w:rsid w:val="00163409"/>
    <w:rsid w:val="00167A8D"/>
    <w:rsid w:val="00170453"/>
    <w:rsid w:val="00171F0A"/>
    <w:rsid w:val="00173B13"/>
    <w:rsid w:val="001741AA"/>
    <w:rsid w:val="00174406"/>
    <w:rsid w:val="0017745C"/>
    <w:rsid w:val="00180B86"/>
    <w:rsid w:val="0018285C"/>
    <w:rsid w:val="001858FB"/>
    <w:rsid w:val="00186F86"/>
    <w:rsid w:val="001874E9"/>
    <w:rsid w:val="00193412"/>
    <w:rsid w:val="001942B7"/>
    <w:rsid w:val="001947D8"/>
    <w:rsid w:val="00197D4B"/>
    <w:rsid w:val="001A1FB6"/>
    <w:rsid w:val="001A24BA"/>
    <w:rsid w:val="001A51F0"/>
    <w:rsid w:val="001A674F"/>
    <w:rsid w:val="001B091B"/>
    <w:rsid w:val="001B3CFB"/>
    <w:rsid w:val="001B541F"/>
    <w:rsid w:val="001B5B5B"/>
    <w:rsid w:val="001C08F1"/>
    <w:rsid w:val="001C224D"/>
    <w:rsid w:val="001C26C8"/>
    <w:rsid w:val="001C2ED2"/>
    <w:rsid w:val="001C3D87"/>
    <w:rsid w:val="001C4BA3"/>
    <w:rsid w:val="001C61D7"/>
    <w:rsid w:val="001D03D8"/>
    <w:rsid w:val="001D0C8B"/>
    <w:rsid w:val="001D2100"/>
    <w:rsid w:val="001D2F02"/>
    <w:rsid w:val="001D2FDE"/>
    <w:rsid w:val="001D3138"/>
    <w:rsid w:val="001D51F6"/>
    <w:rsid w:val="001D5F64"/>
    <w:rsid w:val="001D6C68"/>
    <w:rsid w:val="001E345D"/>
    <w:rsid w:val="001E3EA8"/>
    <w:rsid w:val="001E4B01"/>
    <w:rsid w:val="001E63CC"/>
    <w:rsid w:val="001E76A0"/>
    <w:rsid w:val="001F18B7"/>
    <w:rsid w:val="001F2B8A"/>
    <w:rsid w:val="001F3087"/>
    <w:rsid w:val="001F3249"/>
    <w:rsid w:val="001F51C7"/>
    <w:rsid w:val="001F5405"/>
    <w:rsid w:val="001F564F"/>
    <w:rsid w:val="001F57FB"/>
    <w:rsid w:val="00202DFB"/>
    <w:rsid w:val="00210450"/>
    <w:rsid w:val="002119BA"/>
    <w:rsid w:val="002128B6"/>
    <w:rsid w:val="00214084"/>
    <w:rsid w:val="00215381"/>
    <w:rsid w:val="002165E9"/>
    <w:rsid w:val="00217004"/>
    <w:rsid w:val="00217BB8"/>
    <w:rsid w:val="00221DB5"/>
    <w:rsid w:val="00222653"/>
    <w:rsid w:val="00222718"/>
    <w:rsid w:val="002230B2"/>
    <w:rsid w:val="00225775"/>
    <w:rsid w:val="00226560"/>
    <w:rsid w:val="002265D1"/>
    <w:rsid w:val="00232115"/>
    <w:rsid w:val="00232372"/>
    <w:rsid w:val="00232804"/>
    <w:rsid w:val="00232876"/>
    <w:rsid w:val="00233048"/>
    <w:rsid w:val="00233EA2"/>
    <w:rsid w:val="002355A7"/>
    <w:rsid w:val="00235776"/>
    <w:rsid w:val="00236DE2"/>
    <w:rsid w:val="002427BC"/>
    <w:rsid w:val="00245618"/>
    <w:rsid w:val="00251345"/>
    <w:rsid w:val="00252145"/>
    <w:rsid w:val="00253121"/>
    <w:rsid w:val="00254652"/>
    <w:rsid w:val="00260F5B"/>
    <w:rsid w:val="00264DA0"/>
    <w:rsid w:val="00265B29"/>
    <w:rsid w:val="00270105"/>
    <w:rsid w:val="00270753"/>
    <w:rsid w:val="002714A6"/>
    <w:rsid w:val="0027311C"/>
    <w:rsid w:val="002739BD"/>
    <w:rsid w:val="00273AE1"/>
    <w:rsid w:val="00275816"/>
    <w:rsid w:val="00275AE8"/>
    <w:rsid w:val="0027608F"/>
    <w:rsid w:val="00280270"/>
    <w:rsid w:val="002802AA"/>
    <w:rsid w:val="002809AF"/>
    <w:rsid w:val="00281CCD"/>
    <w:rsid w:val="002828BF"/>
    <w:rsid w:val="00282F90"/>
    <w:rsid w:val="00283130"/>
    <w:rsid w:val="002847DD"/>
    <w:rsid w:val="00284C48"/>
    <w:rsid w:val="0029187E"/>
    <w:rsid w:val="00291CF5"/>
    <w:rsid w:val="002958E2"/>
    <w:rsid w:val="00295B8C"/>
    <w:rsid w:val="002960B8"/>
    <w:rsid w:val="0029640E"/>
    <w:rsid w:val="002966CE"/>
    <w:rsid w:val="00297415"/>
    <w:rsid w:val="00297A0E"/>
    <w:rsid w:val="002A0FA9"/>
    <w:rsid w:val="002A1A65"/>
    <w:rsid w:val="002A1ADB"/>
    <w:rsid w:val="002A1FE9"/>
    <w:rsid w:val="002A32E8"/>
    <w:rsid w:val="002A361F"/>
    <w:rsid w:val="002A76B6"/>
    <w:rsid w:val="002B058C"/>
    <w:rsid w:val="002B3F6B"/>
    <w:rsid w:val="002B462F"/>
    <w:rsid w:val="002C0244"/>
    <w:rsid w:val="002C0D5F"/>
    <w:rsid w:val="002C14E1"/>
    <w:rsid w:val="002C4A51"/>
    <w:rsid w:val="002C528F"/>
    <w:rsid w:val="002C56BA"/>
    <w:rsid w:val="002C6204"/>
    <w:rsid w:val="002C72AD"/>
    <w:rsid w:val="002C75E5"/>
    <w:rsid w:val="002C792B"/>
    <w:rsid w:val="002C7A96"/>
    <w:rsid w:val="002C7D50"/>
    <w:rsid w:val="002D2CA0"/>
    <w:rsid w:val="002D2DBA"/>
    <w:rsid w:val="002D2DDD"/>
    <w:rsid w:val="002D4DC7"/>
    <w:rsid w:val="002D6345"/>
    <w:rsid w:val="002D6513"/>
    <w:rsid w:val="002E0DAA"/>
    <w:rsid w:val="002E25AB"/>
    <w:rsid w:val="002E2783"/>
    <w:rsid w:val="002E4DBF"/>
    <w:rsid w:val="002E5F3D"/>
    <w:rsid w:val="002E635E"/>
    <w:rsid w:val="002E75BA"/>
    <w:rsid w:val="002F55FE"/>
    <w:rsid w:val="002F6BCF"/>
    <w:rsid w:val="002F74D6"/>
    <w:rsid w:val="00301AE2"/>
    <w:rsid w:val="00301DCD"/>
    <w:rsid w:val="00302DE0"/>
    <w:rsid w:val="00304C37"/>
    <w:rsid w:val="003073A8"/>
    <w:rsid w:val="00307D10"/>
    <w:rsid w:val="00311346"/>
    <w:rsid w:val="00312EA4"/>
    <w:rsid w:val="00312F30"/>
    <w:rsid w:val="0031506E"/>
    <w:rsid w:val="00315775"/>
    <w:rsid w:val="00317672"/>
    <w:rsid w:val="00317DCE"/>
    <w:rsid w:val="00317F94"/>
    <w:rsid w:val="00320554"/>
    <w:rsid w:val="00320638"/>
    <w:rsid w:val="00321E43"/>
    <w:rsid w:val="00323310"/>
    <w:rsid w:val="0032501B"/>
    <w:rsid w:val="00326297"/>
    <w:rsid w:val="003266EB"/>
    <w:rsid w:val="003308FF"/>
    <w:rsid w:val="003316E4"/>
    <w:rsid w:val="00333097"/>
    <w:rsid w:val="00334A1B"/>
    <w:rsid w:val="0033737A"/>
    <w:rsid w:val="00337F0A"/>
    <w:rsid w:val="0034064E"/>
    <w:rsid w:val="00340AB2"/>
    <w:rsid w:val="00340D22"/>
    <w:rsid w:val="003412C1"/>
    <w:rsid w:val="00342410"/>
    <w:rsid w:val="003443D0"/>
    <w:rsid w:val="00344DB2"/>
    <w:rsid w:val="003463AC"/>
    <w:rsid w:val="003477D2"/>
    <w:rsid w:val="00347CDC"/>
    <w:rsid w:val="0035163C"/>
    <w:rsid w:val="003530AA"/>
    <w:rsid w:val="003531B0"/>
    <w:rsid w:val="00355E88"/>
    <w:rsid w:val="00356177"/>
    <w:rsid w:val="00356D26"/>
    <w:rsid w:val="0035764F"/>
    <w:rsid w:val="00357A60"/>
    <w:rsid w:val="00363816"/>
    <w:rsid w:val="00363A99"/>
    <w:rsid w:val="00364E91"/>
    <w:rsid w:val="00364F8E"/>
    <w:rsid w:val="0037069D"/>
    <w:rsid w:val="00371750"/>
    <w:rsid w:val="00372CD4"/>
    <w:rsid w:val="003734C8"/>
    <w:rsid w:val="003736D6"/>
    <w:rsid w:val="003742CE"/>
    <w:rsid w:val="00374C6B"/>
    <w:rsid w:val="00377EC2"/>
    <w:rsid w:val="0038182E"/>
    <w:rsid w:val="003824D6"/>
    <w:rsid w:val="003831D4"/>
    <w:rsid w:val="00383698"/>
    <w:rsid w:val="003843F6"/>
    <w:rsid w:val="00384EA5"/>
    <w:rsid w:val="00390E8C"/>
    <w:rsid w:val="003915FD"/>
    <w:rsid w:val="00392C5A"/>
    <w:rsid w:val="00392EA9"/>
    <w:rsid w:val="0039384C"/>
    <w:rsid w:val="00393878"/>
    <w:rsid w:val="00393E20"/>
    <w:rsid w:val="00393F72"/>
    <w:rsid w:val="003974FF"/>
    <w:rsid w:val="00397F17"/>
    <w:rsid w:val="003A01F7"/>
    <w:rsid w:val="003A2434"/>
    <w:rsid w:val="003A2F00"/>
    <w:rsid w:val="003A60DB"/>
    <w:rsid w:val="003B07E2"/>
    <w:rsid w:val="003B54A4"/>
    <w:rsid w:val="003B5512"/>
    <w:rsid w:val="003B702F"/>
    <w:rsid w:val="003B717C"/>
    <w:rsid w:val="003C0143"/>
    <w:rsid w:val="003C2ECE"/>
    <w:rsid w:val="003C3A8F"/>
    <w:rsid w:val="003C57F0"/>
    <w:rsid w:val="003C5987"/>
    <w:rsid w:val="003C7149"/>
    <w:rsid w:val="003C765C"/>
    <w:rsid w:val="003D0EBF"/>
    <w:rsid w:val="003D33BB"/>
    <w:rsid w:val="003D5E71"/>
    <w:rsid w:val="003E0442"/>
    <w:rsid w:val="003E1137"/>
    <w:rsid w:val="003E1896"/>
    <w:rsid w:val="003E1ACF"/>
    <w:rsid w:val="003E3752"/>
    <w:rsid w:val="003E4802"/>
    <w:rsid w:val="003E7494"/>
    <w:rsid w:val="003E7DD1"/>
    <w:rsid w:val="003F0B42"/>
    <w:rsid w:val="003F11A2"/>
    <w:rsid w:val="003F1CCD"/>
    <w:rsid w:val="003F1D36"/>
    <w:rsid w:val="003F30E6"/>
    <w:rsid w:val="003F33F6"/>
    <w:rsid w:val="003F3845"/>
    <w:rsid w:val="003F3BFA"/>
    <w:rsid w:val="003F4161"/>
    <w:rsid w:val="003F4E61"/>
    <w:rsid w:val="003F5FD8"/>
    <w:rsid w:val="003F6AC4"/>
    <w:rsid w:val="003F6B96"/>
    <w:rsid w:val="00400089"/>
    <w:rsid w:val="00400360"/>
    <w:rsid w:val="0040065D"/>
    <w:rsid w:val="004017F0"/>
    <w:rsid w:val="00401EEF"/>
    <w:rsid w:val="00402383"/>
    <w:rsid w:val="0040269C"/>
    <w:rsid w:val="004033FE"/>
    <w:rsid w:val="004042AE"/>
    <w:rsid w:val="0040788D"/>
    <w:rsid w:val="00410784"/>
    <w:rsid w:val="00410BCD"/>
    <w:rsid w:val="004130C1"/>
    <w:rsid w:val="00413998"/>
    <w:rsid w:val="004141E4"/>
    <w:rsid w:val="00414F0C"/>
    <w:rsid w:val="004155F1"/>
    <w:rsid w:val="00416918"/>
    <w:rsid w:val="00416A7B"/>
    <w:rsid w:val="00416B8E"/>
    <w:rsid w:val="00417F14"/>
    <w:rsid w:val="00420102"/>
    <w:rsid w:val="00421B9C"/>
    <w:rsid w:val="00422C9D"/>
    <w:rsid w:val="00423340"/>
    <w:rsid w:val="00424353"/>
    <w:rsid w:val="00427EAE"/>
    <w:rsid w:val="00430FBB"/>
    <w:rsid w:val="00432836"/>
    <w:rsid w:val="00432E74"/>
    <w:rsid w:val="004348EC"/>
    <w:rsid w:val="004352BA"/>
    <w:rsid w:val="00435CCE"/>
    <w:rsid w:val="00436905"/>
    <w:rsid w:val="00440D01"/>
    <w:rsid w:val="004418BB"/>
    <w:rsid w:val="00441AC9"/>
    <w:rsid w:val="00443A80"/>
    <w:rsid w:val="004457C2"/>
    <w:rsid w:val="00450FD0"/>
    <w:rsid w:val="004543CB"/>
    <w:rsid w:val="00456276"/>
    <w:rsid w:val="00456D70"/>
    <w:rsid w:val="00460B32"/>
    <w:rsid w:val="00463042"/>
    <w:rsid w:val="00466381"/>
    <w:rsid w:val="00466BB5"/>
    <w:rsid w:val="00470417"/>
    <w:rsid w:val="0047163B"/>
    <w:rsid w:val="00471C0A"/>
    <w:rsid w:val="00472B56"/>
    <w:rsid w:val="00473ECD"/>
    <w:rsid w:val="00474AEB"/>
    <w:rsid w:val="004773E0"/>
    <w:rsid w:val="00477971"/>
    <w:rsid w:val="00480C7D"/>
    <w:rsid w:val="0048126F"/>
    <w:rsid w:val="00484E08"/>
    <w:rsid w:val="004865B0"/>
    <w:rsid w:val="00486E08"/>
    <w:rsid w:val="00487DC8"/>
    <w:rsid w:val="00490869"/>
    <w:rsid w:val="00490B2F"/>
    <w:rsid w:val="00491599"/>
    <w:rsid w:val="004920CC"/>
    <w:rsid w:val="00494651"/>
    <w:rsid w:val="004953C5"/>
    <w:rsid w:val="00496CE6"/>
    <w:rsid w:val="004977BA"/>
    <w:rsid w:val="00497D1B"/>
    <w:rsid w:val="004A1D9E"/>
    <w:rsid w:val="004A223E"/>
    <w:rsid w:val="004A2AD2"/>
    <w:rsid w:val="004A31B7"/>
    <w:rsid w:val="004A3401"/>
    <w:rsid w:val="004A56CE"/>
    <w:rsid w:val="004B5AD7"/>
    <w:rsid w:val="004C05D1"/>
    <w:rsid w:val="004C0AFD"/>
    <w:rsid w:val="004C131C"/>
    <w:rsid w:val="004C26BE"/>
    <w:rsid w:val="004C54E1"/>
    <w:rsid w:val="004C5708"/>
    <w:rsid w:val="004D0C5B"/>
    <w:rsid w:val="004D117C"/>
    <w:rsid w:val="004D23F9"/>
    <w:rsid w:val="004D33A9"/>
    <w:rsid w:val="004D3C99"/>
    <w:rsid w:val="004D4909"/>
    <w:rsid w:val="004D4D54"/>
    <w:rsid w:val="004E0388"/>
    <w:rsid w:val="004E1C72"/>
    <w:rsid w:val="004F41F1"/>
    <w:rsid w:val="004F42F0"/>
    <w:rsid w:val="004F45A1"/>
    <w:rsid w:val="004F4C24"/>
    <w:rsid w:val="004F5215"/>
    <w:rsid w:val="005028AC"/>
    <w:rsid w:val="00503A36"/>
    <w:rsid w:val="00507235"/>
    <w:rsid w:val="0050724E"/>
    <w:rsid w:val="005105B7"/>
    <w:rsid w:val="00512E20"/>
    <w:rsid w:val="00513313"/>
    <w:rsid w:val="0051487A"/>
    <w:rsid w:val="00516B3F"/>
    <w:rsid w:val="00516CCB"/>
    <w:rsid w:val="00520EAA"/>
    <w:rsid w:val="00520FB7"/>
    <w:rsid w:val="00521BDF"/>
    <w:rsid w:val="005232CA"/>
    <w:rsid w:val="005259FC"/>
    <w:rsid w:val="005266C3"/>
    <w:rsid w:val="0053186C"/>
    <w:rsid w:val="0053300C"/>
    <w:rsid w:val="005331BF"/>
    <w:rsid w:val="00533A52"/>
    <w:rsid w:val="00534312"/>
    <w:rsid w:val="005362CD"/>
    <w:rsid w:val="00537E73"/>
    <w:rsid w:val="00542B48"/>
    <w:rsid w:val="00543FCA"/>
    <w:rsid w:val="005505C0"/>
    <w:rsid w:val="00551DFF"/>
    <w:rsid w:val="005524A1"/>
    <w:rsid w:val="0055391B"/>
    <w:rsid w:val="00554CB3"/>
    <w:rsid w:val="00556029"/>
    <w:rsid w:val="00556C7F"/>
    <w:rsid w:val="005576A5"/>
    <w:rsid w:val="00560D8B"/>
    <w:rsid w:val="00561D9B"/>
    <w:rsid w:val="0056208A"/>
    <w:rsid w:val="005650F3"/>
    <w:rsid w:val="00565FE3"/>
    <w:rsid w:val="00566049"/>
    <w:rsid w:val="00566EEA"/>
    <w:rsid w:val="005676D6"/>
    <w:rsid w:val="00571FDE"/>
    <w:rsid w:val="00574285"/>
    <w:rsid w:val="00574325"/>
    <w:rsid w:val="005770A7"/>
    <w:rsid w:val="00577281"/>
    <w:rsid w:val="00577B3F"/>
    <w:rsid w:val="00580495"/>
    <w:rsid w:val="00581605"/>
    <w:rsid w:val="00581FA7"/>
    <w:rsid w:val="00582876"/>
    <w:rsid w:val="00582D1C"/>
    <w:rsid w:val="00583160"/>
    <w:rsid w:val="00583209"/>
    <w:rsid w:val="00587066"/>
    <w:rsid w:val="00587267"/>
    <w:rsid w:val="00587C96"/>
    <w:rsid w:val="0059032F"/>
    <w:rsid w:val="0059122F"/>
    <w:rsid w:val="00591491"/>
    <w:rsid w:val="005914CD"/>
    <w:rsid w:val="005968FF"/>
    <w:rsid w:val="005979F5"/>
    <w:rsid w:val="00597DF4"/>
    <w:rsid w:val="005A198C"/>
    <w:rsid w:val="005A724E"/>
    <w:rsid w:val="005A78B9"/>
    <w:rsid w:val="005B0558"/>
    <w:rsid w:val="005B13CF"/>
    <w:rsid w:val="005B3735"/>
    <w:rsid w:val="005B6753"/>
    <w:rsid w:val="005B6CF2"/>
    <w:rsid w:val="005B6FF2"/>
    <w:rsid w:val="005C0EE9"/>
    <w:rsid w:val="005C0FD6"/>
    <w:rsid w:val="005C2936"/>
    <w:rsid w:val="005C4F62"/>
    <w:rsid w:val="005C4FC9"/>
    <w:rsid w:val="005C5E47"/>
    <w:rsid w:val="005C75E5"/>
    <w:rsid w:val="005C7713"/>
    <w:rsid w:val="005C7904"/>
    <w:rsid w:val="005D032C"/>
    <w:rsid w:val="005D05A2"/>
    <w:rsid w:val="005D0866"/>
    <w:rsid w:val="005D0F0C"/>
    <w:rsid w:val="005D1069"/>
    <w:rsid w:val="005D1E7C"/>
    <w:rsid w:val="005D204F"/>
    <w:rsid w:val="005D3183"/>
    <w:rsid w:val="005D51A1"/>
    <w:rsid w:val="005D6363"/>
    <w:rsid w:val="005D66B4"/>
    <w:rsid w:val="005D6818"/>
    <w:rsid w:val="005D7EC9"/>
    <w:rsid w:val="005E0097"/>
    <w:rsid w:val="005E0623"/>
    <w:rsid w:val="005E14B1"/>
    <w:rsid w:val="005E180D"/>
    <w:rsid w:val="005E232F"/>
    <w:rsid w:val="005E3CB2"/>
    <w:rsid w:val="005E3ED2"/>
    <w:rsid w:val="005E48C2"/>
    <w:rsid w:val="005E5A12"/>
    <w:rsid w:val="005E646B"/>
    <w:rsid w:val="005E713D"/>
    <w:rsid w:val="005E785F"/>
    <w:rsid w:val="005F1DDC"/>
    <w:rsid w:val="005F2C78"/>
    <w:rsid w:val="005F3614"/>
    <w:rsid w:val="005F42A1"/>
    <w:rsid w:val="005F5049"/>
    <w:rsid w:val="005F5811"/>
    <w:rsid w:val="005F7881"/>
    <w:rsid w:val="00601633"/>
    <w:rsid w:val="00607489"/>
    <w:rsid w:val="00607F34"/>
    <w:rsid w:val="00610F30"/>
    <w:rsid w:val="00611328"/>
    <w:rsid w:val="006117AC"/>
    <w:rsid w:val="00611FA8"/>
    <w:rsid w:val="0061278F"/>
    <w:rsid w:val="00616704"/>
    <w:rsid w:val="00617F36"/>
    <w:rsid w:val="00620786"/>
    <w:rsid w:val="00621C09"/>
    <w:rsid w:val="006245D0"/>
    <w:rsid w:val="006249BE"/>
    <w:rsid w:val="0062572F"/>
    <w:rsid w:val="006268BD"/>
    <w:rsid w:val="00626DBE"/>
    <w:rsid w:val="006270BA"/>
    <w:rsid w:val="006270F8"/>
    <w:rsid w:val="00627DD6"/>
    <w:rsid w:val="00627F8E"/>
    <w:rsid w:val="006305EA"/>
    <w:rsid w:val="0063093E"/>
    <w:rsid w:val="00632BBA"/>
    <w:rsid w:val="00633E9B"/>
    <w:rsid w:val="00636DEF"/>
    <w:rsid w:val="00641BC3"/>
    <w:rsid w:val="0065296C"/>
    <w:rsid w:val="00653E3E"/>
    <w:rsid w:val="006555C3"/>
    <w:rsid w:val="00657B9A"/>
    <w:rsid w:val="00661E0C"/>
    <w:rsid w:val="00662B81"/>
    <w:rsid w:val="006631C5"/>
    <w:rsid w:val="006640DB"/>
    <w:rsid w:val="00664B7C"/>
    <w:rsid w:val="00667CFE"/>
    <w:rsid w:val="00670276"/>
    <w:rsid w:val="00670A48"/>
    <w:rsid w:val="0067145E"/>
    <w:rsid w:val="00671C1F"/>
    <w:rsid w:val="006721E5"/>
    <w:rsid w:val="006722B3"/>
    <w:rsid w:val="00672BE7"/>
    <w:rsid w:val="00672D1D"/>
    <w:rsid w:val="00674A64"/>
    <w:rsid w:val="0067700A"/>
    <w:rsid w:val="00680AAA"/>
    <w:rsid w:val="0068465F"/>
    <w:rsid w:val="00686639"/>
    <w:rsid w:val="006913B0"/>
    <w:rsid w:val="00692DF5"/>
    <w:rsid w:val="00693381"/>
    <w:rsid w:val="0069482F"/>
    <w:rsid w:val="0069526A"/>
    <w:rsid w:val="0069660F"/>
    <w:rsid w:val="006A0306"/>
    <w:rsid w:val="006A365D"/>
    <w:rsid w:val="006A462C"/>
    <w:rsid w:val="006A5B43"/>
    <w:rsid w:val="006A73CF"/>
    <w:rsid w:val="006A7BB7"/>
    <w:rsid w:val="006B28F0"/>
    <w:rsid w:val="006B4123"/>
    <w:rsid w:val="006B48DF"/>
    <w:rsid w:val="006B4BC1"/>
    <w:rsid w:val="006B7679"/>
    <w:rsid w:val="006C1B8E"/>
    <w:rsid w:val="006C34F2"/>
    <w:rsid w:val="006C4138"/>
    <w:rsid w:val="006C4C22"/>
    <w:rsid w:val="006C6E4F"/>
    <w:rsid w:val="006C6EDA"/>
    <w:rsid w:val="006C6EFE"/>
    <w:rsid w:val="006C774B"/>
    <w:rsid w:val="006D1BBC"/>
    <w:rsid w:val="006D4038"/>
    <w:rsid w:val="006E02EB"/>
    <w:rsid w:val="006E0A3A"/>
    <w:rsid w:val="006E0BDF"/>
    <w:rsid w:val="006E28D3"/>
    <w:rsid w:val="006E42F2"/>
    <w:rsid w:val="006E57D9"/>
    <w:rsid w:val="006E6996"/>
    <w:rsid w:val="006E6BAA"/>
    <w:rsid w:val="006F0709"/>
    <w:rsid w:val="006F2EF6"/>
    <w:rsid w:val="006F434A"/>
    <w:rsid w:val="006F478A"/>
    <w:rsid w:val="006F4A7E"/>
    <w:rsid w:val="006F5865"/>
    <w:rsid w:val="006F5CF0"/>
    <w:rsid w:val="006F5E80"/>
    <w:rsid w:val="00700EDE"/>
    <w:rsid w:val="00701622"/>
    <w:rsid w:val="007017A4"/>
    <w:rsid w:val="00706088"/>
    <w:rsid w:val="00706668"/>
    <w:rsid w:val="0071378A"/>
    <w:rsid w:val="00715DD4"/>
    <w:rsid w:val="007177CE"/>
    <w:rsid w:val="00717930"/>
    <w:rsid w:val="007212E2"/>
    <w:rsid w:val="00721320"/>
    <w:rsid w:val="007215E3"/>
    <w:rsid w:val="0072201C"/>
    <w:rsid w:val="007223D3"/>
    <w:rsid w:val="007229FB"/>
    <w:rsid w:val="0072349E"/>
    <w:rsid w:val="0072359E"/>
    <w:rsid w:val="00725B3E"/>
    <w:rsid w:val="007276A4"/>
    <w:rsid w:val="007316E4"/>
    <w:rsid w:val="0073331A"/>
    <w:rsid w:val="0073359F"/>
    <w:rsid w:val="00734CDC"/>
    <w:rsid w:val="00735E15"/>
    <w:rsid w:val="0073615C"/>
    <w:rsid w:val="0073703F"/>
    <w:rsid w:val="00737BA6"/>
    <w:rsid w:val="007401E1"/>
    <w:rsid w:val="00743FE1"/>
    <w:rsid w:val="0074466A"/>
    <w:rsid w:val="00744D7A"/>
    <w:rsid w:val="00744F78"/>
    <w:rsid w:val="0074675D"/>
    <w:rsid w:val="00747090"/>
    <w:rsid w:val="00747878"/>
    <w:rsid w:val="00747D03"/>
    <w:rsid w:val="007546CB"/>
    <w:rsid w:val="007562DE"/>
    <w:rsid w:val="00756449"/>
    <w:rsid w:val="00756925"/>
    <w:rsid w:val="00757356"/>
    <w:rsid w:val="00757450"/>
    <w:rsid w:val="00760D5A"/>
    <w:rsid w:val="00761237"/>
    <w:rsid w:val="00762DBF"/>
    <w:rsid w:val="00764FAE"/>
    <w:rsid w:val="0076519F"/>
    <w:rsid w:val="00766B83"/>
    <w:rsid w:val="00766BB1"/>
    <w:rsid w:val="007677AA"/>
    <w:rsid w:val="00770608"/>
    <w:rsid w:val="00773CCE"/>
    <w:rsid w:val="007806D6"/>
    <w:rsid w:val="00782BF6"/>
    <w:rsid w:val="00783104"/>
    <w:rsid w:val="00783632"/>
    <w:rsid w:val="0078365B"/>
    <w:rsid w:val="00784474"/>
    <w:rsid w:val="007856C3"/>
    <w:rsid w:val="007856C5"/>
    <w:rsid w:val="00785A8A"/>
    <w:rsid w:val="007925BC"/>
    <w:rsid w:val="00792649"/>
    <w:rsid w:val="00793E16"/>
    <w:rsid w:val="00793EA8"/>
    <w:rsid w:val="00794E94"/>
    <w:rsid w:val="00795538"/>
    <w:rsid w:val="00795A86"/>
    <w:rsid w:val="00796073"/>
    <w:rsid w:val="00796098"/>
    <w:rsid w:val="007973B3"/>
    <w:rsid w:val="007A02DC"/>
    <w:rsid w:val="007A1DB0"/>
    <w:rsid w:val="007A21CD"/>
    <w:rsid w:val="007A232E"/>
    <w:rsid w:val="007A356A"/>
    <w:rsid w:val="007A53DD"/>
    <w:rsid w:val="007A5616"/>
    <w:rsid w:val="007A6A05"/>
    <w:rsid w:val="007A7049"/>
    <w:rsid w:val="007B0EE9"/>
    <w:rsid w:val="007B2AC7"/>
    <w:rsid w:val="007B2BD0"/>
    <w:rsid w:val="007B5D07"/>
    <w:rsid w:val="007B7AC6"/>
    <w:rsid w:val="007B7D36"/>
    <w:rsid w:val="007C36D2"/>
    <w:rsid w:val="007C6D53"/>
    <w:rsid w:val="007D13B7"/>
    <w:rsid w:val="007D162A"/>
    <w:rsid w:val="007D3399"/>
    <w:rsid w:val="007D51B1"/>
    <w:rsid w:val="007D77EC"/>
    <w:rsid w:val="007E0092"/>
    <w:rsid w:val="007E0DBA"/>
    <w:rsid w:val="007E23A8"/>
    <w:rsid w:val="007E3CAA"/>
    <w:rsid w:val="007E4028"/>
    <w:rsid w:val="007E4B8F"/>
    <w:rsid w:val="007E4BA5"/>
    <w:rsid w:val="007E7760"/>
    <w:rsid w:val="007F0B21"/>
    <w:rsid w:val="007F2010"/>
    <w:rsid w:val="007F2D0A"/>
    <w:rsid w:val="007F3728"/>
    <w:rsid w:val="007F39FB"/>
    <w:rsid w:val="007F5C30"/>
    <w:rsid w:val="008021C1"/>
    <w:rsid w:val="00803B8D"/>
    <w:rsid w:val="00803CC1"/>
    <w:rsid w:val="008040D5"/>
    <w:rsid w:val="0080500E"/>
    <w:rsid w:val="00805D6E"/>
    <w:rsid w:val="00806CF7"/>
    <w:rsid w:val="008119C4"/>
    <w:rsid w:val="008120E6"/>
    <w:rsid w:val="0081365A"/>
    <w:rsid w:val="00814590"/>
    <w:rsid w:val="00815E07"/>
    <w:rsid w:val="00816D53"/>
    <w:rsid w:val="00825658"/>
    <w:rsid w:val="0082696B"/>
    <w:rsid w:val="008279D7"/>
    <w:rsid w:val="0083019C"/>
    <w:rsid w:val="00830257"/>
    <w:rsid w:val="0083040E"/>
    <w:rsid w:val="00831E19"/>
    <w:rsid w:val="00831EAE"/>
    <w:rsid w:val="00832876"/>
    <w:rsid w:val="00832EDD"/>
    <w:rsid w:val="00833286"/>
    <w:rsid w:val="00834A09"/>
    <w:rsid w:val="008363D0"/>
    <w:rsid w:val="00840B6E"/>
    <w:rsid w:val="00840DF7"/>
    <w:rsid w:val="0084677F"/>
    <w:rsid w:val="008542A3"/>
    <w:rsid w:val="008548D5"/>
    <w:rsid w:val="00855BBB"/>
    <w:rsid w:val="00856D73"/>
    <w:rsid w:val="00856EA3"/>
    <w:rsid w:val="00857269"/>
    <w:rsid w:val="0085794A"/>
    <w:rsid w:val="00862ACC"/>
    <w:rsid w:val="008706BD"/>
    <w:rsid w:val="008743F5"/>
    <w:rsid w:val="00880C0D"/>
    <w:rsid w:val="0088143B"/>
    <w:rsid w:val="0088178E"/>
    <w:rsid w:val="00881C5F"/>
    <w:rsid w:val="008822D6"/>
    <w:rsid w:val="00883442"/>
    <w:rsid w:val="00886493"/>
    <w:rsid w:val="0089030C"/>
    <w:rsid w:val="008903D4"/>
    <w:rsid w:val="008927A9"/>
    <w:rsid w:val="008927AB"/>
    <w:rsid w:val="00895D80"/>
    <w:rsid w:val="00895F58"/>
    <w:rsid w:val="008965F4"/>
    <w:rsid w:val="00896C0D"/>
    <w:rsid w:val="008A0189"/>
    <w:rsid w:val="008A1897"/>
    <w:rsid w:val="008A49C6"/>
    <w:rsid w:val="008A4C2E"/>
    <w:rsid w:val="008A5D33"/>
    <w:rsid w:val="008A77FF"/>
    <w:rsid w:val="008A7DD6"/>
    <w:rsid w:val="008B09C3"/>
    <w:rsid w:val="008B380E"/>
    <w:rsid w:val="008B4DCF"/>
    <w:rsid w:val="008C0273"/>
    <w:rsid w:val="008C26D0"/>
    <w:rsid w:val="008C3F2F"/>
    <w:rsid w:val="008C5733"/>
    <w:rsid w:val="008D0118"/>
    <w:rsid w:val="008D06CA"/>
    <w:rsid w:val="008D06F2"/>
    <w:rsid w:val="008D0B5E"/>
    <w:rsid w:val="008D2120"/>
    <w:rsid w:val="008D2865"/>
    <w:rsid w:val="008D31FC"/>
    <w:rsid w:val="008D3A30"/>
    <w:rsid w:val="008D4149"/>
    <w:rsid w:val="008D5387"/>
    <w:rsid w:val="008D5A01"/>
    <w:rsid w:val="008D5E38"/>
    <w:rsid w:val="008D68DA"/>
    <w:rsid w:val="008D6D7C"/>
    <w:rsid w:val="008E1E3E"/>
    <w:rsid w:val="008E1F8D"/>
    <w:rsid w:val="008E48C8"/>
    <w:rsid w:val="008E6D85"/>
    <w:rsid w:val="008F05C1"/>
    <w:rsid w:val="008F340B"/>
    <w:rsid w:val="008F35EE"/>
    <w:rsid w:val="008F45FB"/>
    <w:rsid w:val="008F4EA3"/>
    <w:rsid w:val="008F545B"/>
    <w:rsid w:val="008F6FCF"/>
    <w:rsid w:val="00904A49"/>
    <w:rsid w:val="009072A2"/>
    <w:rsid w:val="00907D2D"/>
    <w:rsid w:val="009103F4"/>
    <w:rsid w:val="00911180"/>
    <w:rsid w:val="00915036"/>
    <w:rsid w:val="00915854"/>
    <w:rsid w:val="009172DE"/>
    <w:rsid w:val="00917C1F"/>
    <w:rsid w:val="00917EB5"/>
    <w:rsid w:val="00920419"/>
    <w:rsid w:val="00920961"/>
    <w:rsid w:val="009216BD"/>
    <w:rsid w:val="00923E07"/>
    <w:rsid w:val="009242CA"/>
    <w:rsid w:val="0092435D"/>
    <w:rsid w:val="00925D6B"/>
    <w:rsid w:val="0092615B"/>
    <w:rsid w:val="00926410"/>
    <w:rsid w:val="00927E8F"/>
    <w:rsid w:val="00930248"/>
    <w:rsid w:val="00931BC0"/>
    <w:rsid w:val="009329DD"/>
    <w:rsid w:val="009340EC"/>
    <w:rsid w:val="00935245"/>
    <w:rsid w:val="0093561E"/>
    <w:rsid w:val="0093610E"/>
    <w:rsid w:val="0093745C"/>
    <w:rsid w:val="00937CF3"/>
    <w:rsid w:val="009407E3"/>
    <w:rsid w:val="00940935"/>
    <w:rsid w:val="009416DB"/>
    <w:rsid w:val="00942170"/>
    <w:rsid w:val="0094282E"/>
    <w:rsid w:val="00942BCC"/>
    <w:rsid w:val="0094388A"/>
    <w:rsid w:val="00944E94"/>
    <w:rsid w:val="0094744A"/>
    <w:rsid w:val="009543BC"/>
    <w:rsid w:val="00954E56"/>
    <w:rsid w:val="0095518F"/>
    <w:rsid w:val="0095530B"/>
    <w:rsid w:val="00957092"/>
    <w:rsid w:val="0096395A"/>
    <w:rsid w:val="0096420C"/>
    <w:rsid w:val="00971102"/>
    <w:rsid w:val="009733D4"/>
    <w:rsid w:val="009739D0"/>
    <w:rsid w:val="00973B8C"/>
    <w:rsid w:val="0097430E"/>
    <w:rsid w:val="00974527"/>
    <w:rsid w:val="00981FD8"/>
    <w:rsid w:val="00983808"/>
    <w:rsid w:val="00985401"/>
    <w:rsid w:val="00985C9E"/>
    <w:rsid w:val="009867C6"/>
    <w:rsid w:val="00987431"/>
    <w:rsid w:val="00987A88"/>
    <w:rsid w:val="00991E4B"/>
    <w:rsid w:val="00992A00"/>
    <w:rsid w:val="00992B99"/>
    <w:rsid w:val="0099358E"/>
    <w:rsid w:val="00993F02"/>
    <w:rsid w:val="00994B47"/>
    <w:rsid w:val="009969C9"/>
    <w:rsid w:val="00997BED"/>
    <w:rsid w:val="00997EDB"/>
    <w:rsid w:val="009A1CF2"/>
    <w:rsid w:val="009A29CA"/>
    <w:rsid w:val="009A2B56"/>
    <w:rsid w:val="009A3F23"/>
    <w:rsid w:val="009A4F49"/>
    <w:rsid w:val="009B012F"/>
    <w:rsid w:val="009B5C1C"/>
    <w:rsid w:val="009B6691"/>
    <w:rsid w:val="009C0145"/>
    <w:rsid w:val="009C054C"/>
    <w:rsid w:val="009C19E8"/>
    <w:rsid w:val="009C2601"/>
    <w:rsid w:val="009C4C9C"/>
    <w:rsid w:val="009D047E"/>
    <w:rsid w:val="009D1066"/>
    <w:rsid w:val="009D1723"/>
    <w:rsid w:val="009D2631"/>
    <w:rsid w:val="009D5269"/>
    <w:rsid w:val="009D5657"/>
    <w:rsid w:val="009D5FAC"/>
    <w:rsid w:val="009D6832"/>
    <w:rsid w:val="009D74F0"/>
    <w:rsid w:val="009D78DB"/>
    <w:rsid w:val="009E00AA"/>
    <w:rsid w:val="009E0762"/>
    <w:rsid w:val="009E0E51"/>
    <w:rsid w:val="009E2A0C"/>
    <w:rsid w:val="009E31BE"/>
    <w:rsid w:val="009E4615"/>
    <w:rsid w:val="009E4E76"/>
    <w:rsid w:val="009E6491"/>
    <w:rsid w:val="009E7E2E"/>
    <w:rsid w:val="009F074B"/>
    <w:rsid w:val="009F22D9"/>
    <w:rsid w:val="009F3C24"/>
    <w:rsid w:val="009F40E6"/>
    <w:rsid w:val="009F5955"/>
    <w:rsid w:val="009F5AD7"/>
    <w:rsid w:val="009F6A1D"/>
    <w:rsid w:val="009F7C87"/>
    <w:rsid w:val="00A00C02"/>
    <w:rsid w:val="00A0160D"/>
    <w:rsid w:val="00A02679"/>
    <w:rsid w:val="00A0385B"/>
    <w:rsid w:val="00A06F91"/>
    <w:rsid w:val="00A07C34"/>
    <w:rsid w:val="00A10240"/>
    <w:rsid w:val="00A130AE"/>
    <w:rsid w:val="00A13376"/>
    <w:rsid w:val="00A15997"/>
    <w:rsid w:val="00A16CBE"/>
    <w:rsid w:val="00A16FFA"/>
    <w:rsid w:val="00A1709F"/>
    <w:rsid w:val="00A20860"/>
    <w:rsid w:val="00A2141C"/>
    <w:rsid w:val="00A22259"/>
    <w:rsid w:val="00A2269F"/>
    <w:rsid w:val="00A22737"/>
    <w:rsid w:val="00A23F8F"/>
    <w:rsid w:val="00A26D6E"/>
    <w:rsid w:val="00A30BD6"/>
    <w:rsid w:val="00A32DE3"/>
    <w:rsid w:val="00A33242"/>
    <w:rsid w:val="00A346C2"/>
    <w:rsid w:val="00A3476A"/>
    <w:rsid w:val="00A34DDE"/>
    <w:rsid w:val="00A37F65"/>
    <w:rsid w:val="00A41A4E"/>
    <w:rsid w:val="00A42BFF"/>
    <w:rsid w:val="00A43389"/>
    <w:rsid w:val="00A44DD3"/>
    <w:rsid w:val="00A450B5"/>
    <w:rsid w:val="00A45AE3"/>
    <w:rsid w:val="00A46495"/>
    <w:rsid w:val="00A47DE8"/>
    <w:rsid w:val="00A50828"/>
    <w:rsid w:val="00A52270"/>
    <w:rsid w:val="00A5227D"/>
    <w:rsid w:val="00A55C24"/>
    <w:rsid w:val="00A564ED"/>
    <w:rsid w:val="00A57982"/>
    <w:rsid w:val="00A60425"/>
    <w:rsid w:val="00A6401E"/>
    <w:rsid w:val="00A64F4C"/>
    <w:rsid w:val="00A65819"/>
    <w:rsid w:val="00A65F56"/>
    <w:rsid w:val="00A73839"/>
    <w:rsid w:val="00A74C7E"/>
    <w:rsid w:val="00A75ECB"/>
    <w:rsid w:val="00A76BF4"/>
    <w:rsid w:val="00A76E8C"/>
    <w:rsid w:val="00A81528"/>
    <w:rsid w:val="00A81549"/>
    <w:rsid w:val="00A82500"/>
    <w:rsid w:val="00A83F44"/>
    <w:rsid w:val="00A91349"/>
    <w:rsid w:val="00A92991"/>
    <w:rsid w:val="00A944D0"/>
    <w:rsid w:val="00A9488E"/>
    <w:rsid w:val="00A96C97"/>
    <w:rsid w:val="00A97C1B"/>
    <w:rsid w:val="00AA0B29"/>
    <w:rsid w:val="00AA1C83"/>
    <w:rsid w:val="00AA364F"/>
    <w:rsid w:val="00AA66D8"/>
    <w:rsid w:val="00AA7646"/>
    <w:rsid w:val="00AB0007"/>
    <w:rsid w:val="00AB09CF"/>
    <w:rsid w:val="00AB2108"/>
    <w:rsid w:val="00AB5507"/>
    <w:rsid w:val="00AB5B8E"/>
    <w:rsid w:val="00AB640A"/>
    <w:rsid w:val="00AB77AC"/>
    <w:rsid w:val="00AC27EE"/>
    <w:rsid w:val="00AC2C1B"/>
    <w:rsid w:val="00AC4099"/>
    <w:rsid w:val="00AC6751"/>
    <w:rsid w:val="00AC7E85"/>
    <w:rsid w:val="00AD050D"/>
    <w:rsid w:val="00AD14B3"/>
    <w:rsid w:val="00AD3C00"/>
    <w:rsid w:val="00AD3DF6"/>
    <w:rsid w:val="00AD4B65"/>
    <w:rsid w:val="00AE074F"/>
    <w:rsid w:val="00AE07A9"/>
    <w:rsid w:val="00AE2573"/>
    <w:rsid w:val="00AE2C82"/>
    <w:rsid w:val="00AE3163"/>
    <w:rsid w:val="00AE40F3"/>
    <w:rsid w:val="00AE4947"/>
    <w:rsid w:val="00AE57B9"/>
    <w:rsid w:val="00AE6BD9"/>
    <w:rsid w:val="00AE7F49"/>
    <w:rsid w:val="00AF0721"/>
    <w:rsid w:val="00AF33A0"/>
    <w:rsid w:val="00AF4BF0"/>
    <w:rsid w:val="00AF5821"/>
    <w:rsid w:val="00AF74A2"/>
    <w:rsid w:val="00B01B2E"/>
    <w:rsid w:val="00B039E3"/>
    <w:rsid w:val="00B04298"/>
    <w:rsid w:val="00B06F45"/>
    <w:rsid w:val="00B070A9"/>
    <w:rsid w:val="00B07CC1"/>
    <w:rsid w:val="00B1345D"/>
    <w:rsid w:val="00B16C9A"/>
    <w:rsid w:val="00B2104D"/>
    <w:rsid w:val="00B2235E"/>
    <w:rsid w:val="00B22B00"/>
    <w:rsid w:val="00B3119F"/>
    <w:rsid w:val="00B3207F"/>
    <w:rsid w:val="00B32574"/>
    <w:rsid w:val="00B32C08"/>
    <w:rsid w:val="00B3349B"/>
    <w:rsid w:val="00B33B73"/>
    <w:rsid w:val="00B36121"/>
    <w:rsid w:val="00B36822"/>
    <w:rsid w:val="00B42886"/>
    <w:rsid w:val="00B477CB"/>
    <w:rsid w:val="00B50DD4"/>
    <w:rsid w:val="00B5288D"/>
    <w:rsid w:val="00B53209"/>
    <w:rsid w:val="00B53EC5"/>
    <w:rsid w:val="00B5567D"/>
    <w:rsid w:val="00B568EC"/>
    <w:rsid w:val="00B56EF5"/>
    <w:rsid w:val="00B61FEB"/>
    <w:rsid w:val="00B627DA"/>
    <w:rsid w:val="00B632BA"/>
    <w:rsid w:val="00B635FF"/>
    <w:rsid w:val="00B641C9"/>
    <w:rsid w:val="00B64577"/>
    <w:rsid w:val="00B6523B"/>
    <w:rsid w:val="00B67471"/>
    <w:rsid w:val="00B70A76"/>
    <w:rsid w:val="00B71516"/>
    <w:rsid w:val="00B72F18"/>
    <w:rsid w:val="00B72FF4"/>
    <w:rsid w:val="00B73551"/>
    <w:rsid w:val="00B73734"/>
    <w:rsid w:val="00B76E36"/>
    <w:rsid w:val="00B777AC"/>
    <w:rsid w:val="00B80C76"/>
    <w:rsid w:val="00B81268"/>
    <w:rsid w:val="00B823A4"/>
    <w:rsid w:val="00B8310B"/>
    <w:rsid w:val="00B83F44"/>
    <w:rsid w:val="00B848FA"/>
    <w:rsid w:val="00B85FC9"/>
    <w:rsid w:val="00B906B4"/>
    <w:rsid w:val="00B916A6"/>
    <w:rsid w:val="00B91B8F"/>
    <w:rsid w:val="00B93FD0"/>
    <w:rsid w:val="00B95B08"/>
    <w:rsid w:val="00B9722E"/>
    <w:rsid w:val="00B97380"/>
    <w:rsid w:val="00BA00AD"/>
    <w:rsid w:val="00BA170A"/>
    <w:rsid w:val="00BA53C1"/>
    <w:rsid w:val="00BA546B"/>
    <w:rsid w:val="00BA6CB3"/>
    <w:rsid w:val="00BA6DC3"/>
    <w:rsid w:val="00BB1087"/>
    <w:rsid w:val="00BB34D5"/>
    <w:rsid w:val="00BB3695"/>
    <w:rsid w:val="00BB3924"/>
    <w:rsid w:val="00BB47E3"/>
    <w:rsid w:val="00BB4B6B"/>
    <w:rsid w:val="00BB5B7C"/>
    <w:rsid w:val="00BB5DA3"/>
    <w:rsid w:val="00BB70A0"/>
    <w:rsid w:val="00BB765D"/>
    <w:rsid w:val="00BB794A"/>
    <w:rsid w:val="00BC0F68"/>
    <w:rsid w:val="00BC2FD3"/>
    <w:rsid w:val="00BC343E"/>
    <w:rsid w:val="00BC4768"/>
    <w:rsid w:val="00BC5FF3"/>
    <w:rsid w:val="00BC7585"/>
    <w:rsid w:val="00BD0162"/>
    <w:rsid w:val="00BD0251"/>
    <w:rsid w:val="00BD0585"/>
    <w:rsid w:val="00BD1B42"/>
    <w:rsid w:val="00BD1E02"/>
    <w:rsid w:val="00BD3197"/>
    <w:rsid w:val="00BD35B2"/>
    <w:rsid w:val="00BD41FC"/>
    <w:rsid w:val="00BD6C8B"/>
    <w:rsid w:val="00BE02EA"/>
    <w:rsid w:val="00BE1C22"/>
    <w:rsid w:val="00BE1F09"/>
    <w:rsid w:val="00BE3C50"/>
    <w:rsid w:val="00BE50DF"/>
    <w:rsid w:val="00BE6157"/>
    <w:rsid w:val="00BE69C5"/>
    <w:rsid w:val="00BE6BF9"/>
    <w:rsid w:val="00BF3359"/>
    <w:rsid w:val="00BF3BC2"/>
    <w:rsid w:val="00BF4D7E"/>
    <w:rsid w:val="00BF5483"/>
    <w:rsid w:val="00BF5B66"/>
    <w:rsid w:val="00BF6118"/>
    <w:rsid w:val="00BF7475"/>
    <w:rsid w:val="00BF76BE"/>
    <w:rsid w:val="00C00F84"/>
    <w:rsid w:val="00C00FC6"/>
    <w:rsid w:val="00C012C5"/>
    <w:rsid w:val="00C0360D"/>
    <w:rsid w:val="00C039B7"/>
    <w:rsid w:val="00C04231"/>
    <w:rsid w:val="00C073D7"/>
    <w:rsid w:val="00C110AF"/>
    <w:rsid w:val="00C162C0"/>
    <w:rsid w:val="00C16C97"/>
    <w:rsid w:val="00C176CA"/>
    <w:rsid w:val="00C20D97"/>
    <w:rsid w:val="00C217C8"/>
    <w:rsid w:val="00C243E1"/>
    <w:rsid w:val="00C24D5A"/>
    <w:rsid w:val="00C25E6C"/>
    <w:rsid w:val="00C268FD"/>
    <w:rsid w:val="00C26E30"/>
    <w:rsid w:val="00C27C62"/>
    <w:rsid w:val="00C30E22"/>
    <w:rsid w:val="00C33BE2"/>
    <w:rsid w:val="00C347EB"/>
    <w:rsid w:val="00C36077"/>
    <w:rsid w:val="00C4188E"/>
    <w:rsid w:val="00C424CC"/>
    <w:rsid w:val="00C459C1"/>
    <w:rsid w:val="00C4628E"/>
    <w:rsid w:val="00C475B4"/>
    <w:rsid w:val="00C534AF"/>
    <w:rsid w:val="00C544A1"/>
    <w:rsid w:val="00C55217"/>
    <w:rsid w:val="00C55EB3"/>
    <w:rsid w:val="00C56AB8"/>
    <w:rsid w:val="00C56BD7"/>
    <w:rsid w:val="00C57A14"/>
    <w:rsid w:val="00C60502"/>
    <w:rsid w:val="00C6097B"/>
    <w:rsid w:val="00C635FF"/>
    <w:rsid w:val="00C63F52"/>
    <w:rsid w:val="00C6426A"/>
    <w:rsid w:val="00C6521C"/>
    <w:rsid w:val="00C65939"/>
    <w:rsid w:val="00C65B70"/>
    <w:rsid w:val="00C65BCE"/>
    <w:rsid w:val="00C65C2B"/>
    <w:rsid w:val="00C666C6"/>
    <w:rsid w:val="00C668EC"/>
    <w:rsid w:val="00C67AA1"/>
    <w:rsid w:val="00C73507"/>
    <w:rsid w:val="00C77A83"/>
    <w:rsid w:val="00C843D2"/>
    <w:rsid w:val="00C87A9B"/>
    <w:rsid w:val="00C93B01"/>
    <w:rsid w:val="00C93DFC"/>
    <w:rsid w:val="00C9447B"/>
    <w:rsid w:val="00C954C3"/>
    <w:rsid w:val="00C96C5D"/>
    <w:rsid w:val="00CA0134"/>
    <w:rsid w:val="00CA075F"/>
    <w:rsid w:val="00CA2B8D"/>
    <w:rsid w:val="00CA2D4F"/>
    <w:rsid w:val="00CA41BD"/>
    <w:rsid w:val="00CA4A57"/>
    <w:rsid w:val="00CB1FF4"/>
    <w:rsid w:val="00CB3345"/>
    <w:rsid w:val="00CB529B"/>
    <w:rsid w:val="00CB63A8"/>
    <w:rsid w:val="00CC1939"/>
    <w:rsid w:val="00CC23DF"/>
    <w:rsid w:val="00CC35CB"/>
    <w:rsid w:val="00CC4228"/>
    <w:rsid w:val="00CC4554"/>
    <w:rsid w:val="00CC520B"/>
    <w:rsid w:val="00CC71EA"/>
    <w:rsid w:val="00CD054E"/>
    <w:rsid w:val="00CD205E"/>
    <w:rsid w:val="00CD5F59"/>
    <w:rsid w:val="00CE2C1C"/>
    <w:rsid w:val="00CE2E10"/>
    <w:rsid w:val="00CE5207"/>
    <w:rsid w:val="00CE67ED"/>
    <w:rsid w:val="00CE6876"/>
    <w:rsid w:val="00CE7129"/>
    <w:rsid w:val="00CE75D7"/>
    <w:rsid w:val="00CF1B8D"/>
    <w:rsid w:val="00CF3B56"/>
    <w:rsid w:val="00CF6D68"/>
    <w:rsid w:val="00CF7057"/>
    <w:rsid w:val="00CF731C"/>
    <w:rsid w:val="00CF7D4E"/>
    <w:rsid w:val="00D019DB"/>
    <w:rsid w:val="00D01E85"/>
    <w:rsid w:val="00D05831"/>
    <w:rsid w:val="00D05911"/>
    <w:rsid w:val="00D075EC"/>
    <w:rsid w:val="00D11348"/>
    <w:rsid w:val="00D13077"/>
    <w:rsid w:val="00D13145"/>
    <w:rsid w:val="00D142B3"/>
    <w:rsid w:val="00D14DB0"/>
    <w:rsid w:val="00D17F78"/>
    <w:rsid w:val="00D20392"/>
    <w:rsid w:val="00D206EC"/>
    <w:rsid w:val="00D209B6"/>
    <w:rsid w:val="00D21951"/>
    <w:rsid w:val="00D21A21"/>
    <w:rsid w:val="00D22D95"/>
    <w:rsid w:val="00D22EE9"/>
    <w:rsid w:val="00D2465E"/>
    <w:rsid w:val="00D30DDF"/>
    <w:rsid w:val="00D312A2"/>
    <w:rsid w:val="00D328D1"/>
    <w:rsid w:val="00D400BF"/>
    <w:rsid w:val="00D40CF0"/>
    <w:rsid w:val="00D41745"/>
    <w:rsid w:val="00D41986"/>
    <w:rsid w:val="00D428A2"/>
    <w:rsid w:val="00D453FB"/>
    <w:rsid w:val="00D4630A"/>
    <w:rsid w:val="00D46847"/>
    <w:rsid w:val="00D51A03"/>
    <w:rsid w:val="00D51E74"/>
    <w:rsid w:val="00D529EE"/>
    <w:rsid w:val="00D53269"/>
    <w:rsid w:val="00D53780"/>
    <w:rsid w:val="00D56F5B"/>
    <w:rsid w:val="00D61C24"/>
    <w:rsid w:val="00D61ECA"/>
    <w:rsid w:val="00D6201B"/>
    <w:rsid w:val="00D6354F"/>
    <w:rsid w:val="00D67CFB"/>
    <w:rsid w:val="00D67DFB"/>
    <w:rsid w:val="00D70F57"/>
    <w:rsid w:val="00D7181D"/>
    <w:rsid w:val="00D71D4B"/>
    <w:rsid w:val="00D76743"/>
    <w:rsid w:val="00D76EB7"/>
    <w:rsid w:val="00D77226"/>
    <w:rsid w:val="00D805A5"/>
    <w:rsid w:val="00D80966"/>
    <w:rsid w:val="00D80F06"/>
    <w:rsid w:val="00D81376"/>
    <w:rsid w:val="00D82782"/>
    <w:rsid w:val="00D847F0"/>
    <w:rsid w:val="00D84C69"/>
    <w:rsid w:val="00D90178"/>
    <w:rsid w:val="00D91C47"/>
    <w:rsid w:val="00D94701"/>
    <w:rsid w:val="00D959A8"/>
    <w:rsid w:val="00D965F9"/>
    <w:rsid w:val="00D96F7E"/>
    <w:rsid w:val="00D979D4"/>
    <w:rsid w:val="00D97F2F"/>
    <w:rsid w:val="00DA04A1"/>
    <w:rsid w:val="00DA2D2D"/>
    <w:rsid w:val="00DA37EB"/>
    <w:rsid w:val="00DA5EA7"/>
    <w:rsid w:val="00DB184C"/>
    <w:rsid w:val="00DB2CF7"/>
    <w:rsid w:val="00DB3DBE"/>
    <w:rsid w:val="00DB568F"/>
    <w:rsid w:val="00DC4D83"/>
    <w:rsid w:val="00DD086C"/>
    <w:rsid w:val="00DD163B"/>
    <w:rsid w:val="00DD31EB"/>
    <w:rsid w:val="00DD427B"/>
    <w:rsid w:val="00DD780B"/>
    <w:rsid w:val="00DE1390"/>
    <w:rsid w:val="00DE1ECC"/>
    <w:rsid w:val="00DE2215"/>
    <w:rsid w:val="00DE2BD8"/>
    <w:rsid w:val="00DE2D59"/>
    <w:rsid w:val="00DE365C"/>
    <w:rsid w:val="00DE4016"/>
    <w:rsid w:val="00DE5ABA"/>
    <w:rsid w:val="00DF03D0"/>
    <w:rsid w:val="00DF44E8"/>
    <w:rsid w:val="00DF609A"/>
    <w:rsid w:val="00DF7279"/>
    <w:rsid w:val="00E012C2"/>
    <w:rsid w:val="00E01481"/>
    <w:rsid w:val="00E01AA4"/>
    <w:rsid w:val="00E036A0"/>
    <w:rsid w:val="00E043ED"/>
    <w:rsid w:val="00E04626"/>
    <w:rsid w:val="00E052D6"/>
    <w:rsid w:val="00E07D28"/>
    <w:rsid w:val="00E10E49"/>
    <w:rsid w:val="00E118AB"/>
    <w:rsid w:val="00E11B6B"/>
    <w:rsid w:val="00E14332"/>
    <w:rsid w:val="00E14485"/>
    <w:rsid w:val="00E15614"/>
    <w:rsid w:val="00E1699D"/>
    <w:rsid w:val="00E2348E"/>
    <w:rsid w:val="00E2467D"/>
    <w:rsid w:val="00E24E43"/>
    <w:rsid w:val="00E2658D"/>
    <w:rsid w:val="00E26888"/>
    <w:rsid w:val="00E30C60"/>
    <w:rsid w:val="00E3281F"/>
    <w:rsid w:val="00E350AC"/>
    <w:rsid w:val="00E36AE2"/>
    <w:rsid w:val="00E36B2F"/>
    <w:rsid w:val="00E37307"/>
    <w:rsid w:val="00E40400"/>
    <w:rsid w:val="00E416BB"/>
    <w:rsid w:val="00E42321"/>
    <w:rsid w:val="00E428A6"/>
    <w:rsid w:val="00E4353B"/>
    <w:rsid w:val="00E43A3D"/>
    <w:rsid w:val="00E43C7D"/>
    <w:rsid w:val="00E475E4"/>
    <w:rsid w:val="00E50F50"/>
    <w:rsid w:val="00E50FDC"/>
    <w:rsid w:val="00E51470"/>
    <w:rsid w:val="00E51585"/>
    <w:rsid w:val="00E51F85"/>
    <w:rsid w:val="00E5239E"/>
    <w:rsid w:val="00E52AE7"/>
    <w:rsid w:val="00E533E8"/>
    <w:rsid w:val="00E577BC"/>
    <w:rsid w:val="00E60C20"/>
    <w:rsid w:val="00E61C08"/>
    <w:rsid w:val="00E63AA1"/>
    <w:rsid w:val="00E63ADD"/>
    <w:rsid w:val="00E63DDA"/>
    <w:rsid w:val="00E63EDC"/>
    <w:rsid w:val="00E64045"/>
    <w:rsid w:val="00E65B91"/>
    <w:rsid w:val="00E660E7"/>
    <w:rsid w:val="00E67268"/>
    <w:rsid w:val="00E7016D"/>
    <w:rsid w:val="00E716EB"/>
    <w:rsid w:val="00E71F8C"/>
    <w:rsid w:val="00E74E41"/>
    <w:rsid w:val="00E758C2"/>
    <w:rsid w:val="00E7630F"/>
    <w:rsid w:val="00E807DC"/>
    <w:rsid w:val="00E81180"/>
    <w:rsid w:val="00E845D3"/>
    <w:rsid w:val="00E85101"/>
    <w:rsid w:val="00E85CF9"/>
    <w:rsid w:val="00E86666"/>
    <w:rsid w:val="00E86B70"/>
    <w:rsid w:val="00E87776"/>
    <w:rsid w:val="00E917B4"/>
    <w:rsid w:val="00E94595"/>
    <w:rsid w:val="00E9476D"/>
    <w:rsid w:val="00E96509"/>
    <w:rsid w:val="00E971BE"/>
    <w:rsid w:val="00E97A4E"/>
    <w:rsid w:val="00EA1E9E"/>
    <w:rsid w:val="00EA2D31"/>
    <w:rsid w:val="00EA2FC1"/>
    <w:rsid w:val="00EA443C"/>
    <w:rsid w:val="00EA4946"/>
    <w:rsid w:val="00EA4A87"/>
    <w:rsid w:val="00EA7F46"/>
    <w:rsid w:val="00EB06A4"/>
    <w:rsid w:val="00EB094E"/>
    <w:rsid w:val="00EB1AC5"/>
    <w:rsid w:val="00EB3C7F"/>
    <w:rsid w:val="00EB3F5C"/>
    <w:rsid w:val="00EB460E"/>
    <w:rsid w:val="00EB4834"/>
    <w:rsid w:val="00EB5DC8"/>
    <w:rsid w:val="00EB7462"/>
    <w:rsid w:val="00EB75AE"/>
    <w:rsid w:val="00EC3F87"/>
    <w:rsid w:val="00EC6010"/>
    <w:rsid w:val="00ED07F8"/>
    <w:rsid w:val="00ED16B6"/>
    <w:rsid w:val="00ED55BD"/>
    <w:rsid w:val="00ED5D1F"/>
    <w:rsid w:val="00ED71EA"/>
    <w:rsid w:val="00EE09BC"/>
    <w:rsid w:val="00EE10F3"/>
    <w:rsid w:val="00EE30C2"/>
    <w:rsid w:val="00EE3EC4"/>
    <w:rsid w:val="00EE4613"/>
    <w:rsid w:val="00EF1760"/>
    <w:rsid w:val="00EF235D"/>
    <w:rsid w:val="00EF27F3"/>
    <w:rsid w:val="00EF3CDB"/>
    <w:rsid w:val="00EF5028"/>
    <w:rsid w:val="00EF6B07"/>
    <w:rsid w:val="00EF724F"/>
    <w:rsid w:val="00EF72FD"/>
    <w:rsid w:val="00EF7EE7"/>
    <w:rsid w:val="00F0239E"/>
    <w:rsid w:val="00F025A3"/>
    <w:rsid w:val="00F04406"/>
    <w:rsid w:val="00F0636D"/>
    <w:rsid w:val="00F06A48"/>
    <w:rsid w:val="00F074FB"/>
    <w:rsid w:val="00F079FD"/>
    <w:rsid w:val="00F10D8C"/>
    <w:rsid w:val="00F110B6"/>
    <w:rsid w:val="00F12B17"/>
    <w:rsid w:val="00F16E30"/>
    <w:rsid w:val="00F1755A"/>
    <w:rsid w:val="00F17D53"/>
    <w:rsid w:val="00F224C8"/>
    <w:rsid w:val="00F237BF"/>
    <w:rsid w:val="00F2578E"/>
    <w:rsid w:val="00F26345"/>
    <w:rsid w:val="00F26AB4"/>
    <w:rsid w:val="00F308BA"/>
    <w:rsid w:val="00F313AD"/>
    <w:rsid w:val="00F344B1"/>
    <w:rsid w:val="00F3747B"/>
    <w:rsid w:val="00F40495"/>
    <w:rsid w:val="00F40D4D"/>
    <w:rsid w:val="00F44F5E"/>
    <w:rsid w:val="00F4532B"/>
    <w:rsid w:val="00F46171"/>
    <w:rsid w:val="00F479EA"/>
    <w:rsid w:val="00F51410"/>
    <w:rsid w:val="00F53966"/>
    <w:rsid w:val="00F53A97"/>
    <w:rsid w:val="00F54787"/>
    <w:rsid w:val="00F56AF9"/>
    <w:rsid w:val="00F56C7B"/>
    <w:rsid w:val="00F57090"/>
    <w:rsid w:val="00F57E8D"/>
    <w:rsid w:val="00F60F3F"/>
    <w:rsid w:val="00F61E86"/>
    <w:rsid w:val="00F62CBB"/>
    <w:rsid w:val="00F62ED2"/>
    <w:rsid w:val="00F6330F"/>
    <w:rsid w:val="00F63847"/>
    <w:rsid w:val="00F66A9E"/>
    <w:rsid w:val="00F66C88"/>
    <w:rsid w:val="00F701F4"/>
    <w:rsid w:val="00F7021F"/>
    <w:rsid w:val="00F70241"/>
    <w:rsid w:val="00F71444"/>
    <w:rsid w:val="00F71D91"/>
    <w:rsid w:val="00F725F3"/>
    <w:rsid w:val="00F72EAF"/>
    <w:rsid w:val="00F73028"/>
    <w:rsid w:val="00F772E7"/>
    <w:rsid w:val="00F77CE9"/>
    <w:rsid w:val="00F80136"/>
    <w:rsid w:val="00F806CA"/>
    <w:rsid w:val="00F80E22"/>
    <w:rsid w:val="00F811F1"/>
    <w:rsid w:val="00F81506"/>
    <w:rsid w:val="00F816F2"/>
    <w:rsid w:val="00F852DC"/>
    <w:rsid w:val="00F85F90"/>
    <w:rsid w:val="00F90396"/>
    <w:rsid w:val="00F9041E"/>
    <w:rsid w:val="00F92680"/>
    <w:rsid w:val="00F92939"/>
    <w:rsid w:val="00F92BF4"/>
    <w:rsid w:val="00F92DF7"/>
    <w:rsid w:val="00F9355A"/>
    <w:rsid w:val="00F974F9"/>
    <w:rsid w:val="00F97EC5"/>
    <w:rsid w:val="00FA15C3"/>
    <w:rsid w:val="00FA4253"/>
    <w:rsid w:val="00FA5553"/>
    <w:rsid w:val="00FA659D"/>
    <w:rsid w:val="00FA68FB"/>
    <w:rsid w:val="00FA6EA5"/>
    <w:rsid w:val="00FB20FF"/>
    <w:rsid w:val="00FB26A2"/>
    <w:rsid w:val="00FB2DFE"/>
    <w:rsid w:val="00FB2ED4"/>
    <w:rsid w:val="00FB2F84"/>
    <w:rsid w:val="00FB4213"/>
    <w:rsid w:val="00FB4ADB"/>
    <w:rsid w:val="00FB69DF"/>
    <w:rsid w:val="00FC0C27"/>
    <w:rsid w:val="00FC300E"/>
    <w:rsid w:val="00FC3C13"/>
    <w:rsid w:val="00FC3D3E"/>
    <w:rsid w:val="00FC48C0"/>
    <w:rsid w:val="00FC762C"/>
    <w:rsid w:val="00FD0254"/>
    <w:rsid w:val="00FD1F8E"/>
    <w:rsid w:val="00FD24EE"/>
    <w:rsid w:val="00FD287E"/>
    <w:rsid w:val="00FD33E2"/>
    <w:rsid w:val="00FD5031"/>
    <w:rsid w:val="00FD56CF"/>
    <w:rsid w:val="00FD57F0"/>
    <w:rsid w:val="00FD5D28"/>
    <w:rsid w:val="00FD62F4"/>
    <w:rsid w:val="00FE128F"/>
    <w:rsid w:val="00FE19D3"/>
    <w:rsid w:val="00FE3FA1"/>
    <w:rsid w:val="00FE479C"/>
    <w:rsid w:val="00FE4A97"/>
    <w:rsid w:val="00FE54FE"/>
    <w:rsid w:val="00FE6324"/>
    <w:rsid w:val="00FE663A"/>
    <w:rsid w:val="00FF2926"/>
    <w:rsid w:val="00FF2E4A"/>
    <w:rsid w:val="00FF3D7E"/>
    <w:rsid w:val="00FF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F30"/>
    <w:pPr>
      <w:widowControl w:val="0"/>
      <w:overflowPunct w:val="0"/>
      <w:autoSpaceDE w:val="0"/>
      <w:autoSpaceDN w:val="0"/>
      <w:adjustRightInd w:val="0"/>
      <w:jc w:val="both"/>
      <w:textAlignment w:val="baseline"/>
    </w:pPr>
    <w:rPr>
      <w:rFonts w:ascii="Times New Roman" w:eastAsia="Times New Roman" w:hAnsi="Times New Roman"/>
      <w:sz w:val="22"/>
      <w:lang w:eastAsia="en-US"/>
    </w:rPr>
  </w:style>
  <w:style w:type="paragraph" w:styleId="Heading1">
    <w:name w:val="heading 1"/>
    <w:basedOn w:val="Normal"/>
    <w:link w:val="Heading1Char"/>
    <w:uiPriority w:val="99"/>
    <w:qFormat/>
    <w:rsid w:val="00427EAE"/>
    <w:pPr>
      <w:numPr>
        <w:numId w:val="1"/>
      </w:numPr>
      <w:spacing w:after="120"/>
      <w:ind w:left="357" w:hanging="357"/>
      <w:outlineLvl w:val="0"/>
    </w:pPr>
    <w:rPr>
      <w:b/>
      <w:bCs/>
      <w:kern w:val="28"/>
      <w:sz w:val="15"/>
    </w:rPr>
  </w:style>
  <w:style w:type="paragraph" w:styleId="Heading2">
    <w:name w:val="heading 2"/>
    <w:aliases w:val="PARA2,h 3,Numbered - 2"/>
    <w:basedOn w:val="Normal"/>
    <w:link w:val="Heading2Char"/>
    <w:uiPriority w:val="99"/>
    <w:qFormat/>
    <w:rsid w:val="00931BC0"/>
    <w:pPr>
      <w:widowControl/>
      <w:numPr>
        <w:ilvl w:val="1"/>
        <w:numId w:val="1"/>
      </w:numPr>
      <w:spacing w:after="120"/>
      <w:outlineLvl w:val="1"/>
    </w:pPr>
    <w:rPr>
      <w:sz w:val="15"/>
    </w:rPr>
  </w:style>
  <w:style w:type="paragraph" w:styleId="Heading3">
    <w:name w:val="heading 3"/>
    <w:aliases w:val="H3,h3,3,Numbered - 3,HeadC"/>
    <w:basedOn w:val="Normal"/>
    <w:link w:val="Heading3Char"/>
    <w:uiPriority w:val="99"/>
    <w:qFormat/>
    <w:rsid w:val="00931BC0"/>
    <w:pPr>
      <w:widowControl/>
      <w:numPr>
        <w:ilvl w:val="2"/>
        <w:numId w:val="1"/>
      </w:numPr>
      <w:spacing w:after="120"/>
      <w:outlineLvl w:val="2"/>
    </w:pPr>
    <w:rPr>
      <w:sz w:val="15"/>
    </w:rPr>
  </w:style>
  <w:style w:type="paragraph" w:styleId="Heading4">
    <w:name w:val="heading 4"/>
    <w:basedOn w:val="Normal"/>
    <w:link w:val="Heading4Char"/>
    <w:uiPriority w:val="99"/>
    <w:qFormat/>
    <w:rsid w:val="00312F30"/>
    <w:pPr>
      <w:widowControl/>
      <w:numPr>
        <w:ilvl w:val="3"/>
        <w:numId w:val="1"/>
      </w:numPr>
      <w:spacing w:after="240" w:line="360" w:lineRule="auto"/>
      <w:outlineLvl w:val="3"/>
    </w:pPr>
  </w:style>
  <w:style w:type="paragraph" w:styleId="Heading5">
    <w:name w:val="heading 5"/>
    <w:basedOn w:val="Normal"/>
    <w:link w:val="Heading5Char"/>
    <w:uiPriority w:val="99"/>
    <w:qFormat/>
    <w:rsid w:val="00312F30"/>
    <w:pPr>
      <w:widowControl/>
      <w:numPr>
        <w:ilvl w:val="4"/>
        <w:numId w:val="1"/>
      </w:numPr>
      <w:spacing w:after="240" w:line="360" w:lineRule="auto"/>
      <w:outlineLvl w:val="4"/>
    </w:pPr>
  </w:style>
  <w:style w:type="paragraph" w:styleId="Heading6">
    <w:name w:val="heading 6"/>
    <w:basedOn w:val="Heading5"/>
    <w:link w:val="Heading6Char"/>
    <w:uiPriority w:val="99"/>
    <w:qFormat/>
    <w:rsid w:val="00312F30"/>
    <w:pPr>
      <w:numPr>
        <w:ilvl w:val="5"/>
      </w:numPr>
      <w:outlineLvl w:val="5"/>
    </w:pPr>
  </w:style>
  <w:style w:type="paragraph" w:styleId="Heading7">
    <w:name w:val="heading 7"/>
    <w:basedOn w:val="Heading6"/>
    <w:link w:val="Heading7Char"/>
    <w:uiPriority w:val="99"/>
    <w:qFormat/>
    <w:rsid w:val="00312F30"/>
    <w:pPr>
      <w:numPr>
        <w:ilvl w:val="6"/>
      </w:numPr>
      <w:outlineLvl w:val="6"/>
    </w:pPr>
  </w:style>
  <w:style w:type="paragraph" w:styleId="Heading8">
    <w:name w:val="heading 8"/>
    <w:basedOn w:val="Normal"/>
    <w:next w:val="Normal"/>
    <w:link w:val="Heading8Char"/>
    <w:uiPriority w:val="99"/>
    <w:qFormat/>
    <w:rsid w:val="00312F30"/>
    <w:pPr>
      <w:keepNext/>
      <w:widowControl/>
      <w:numPr>
        <w:ilvl w:val="7"/>
        <w:numId w:val="1"/>
      </w:numPr>
      <w:spacing w:after="240" w:line="360" w:lineRule="auto"/>
      <w:jc w:val="center"/>
      <w:outlineLvl w:val="7"/>
    </w:pPr>
    <w:rPr>
      <w:b/>
      <w:caps/>
    </w:rPr>
  </w:style>
  <w:style w:type="paragraph" w:styleId="Heading9">
    <w:name w:val="heading 9"/>
    <w:basedOn w:val="Heading8"/>
    <w:next w:val="MarginText"/>
    <w:link w:val="Heading9Char"/>
    <w:uiPriority w:val="99"/>
    <w:qFormat/>
    <w:rsid w:val="00312F30"/>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27EAE"/>
    <w:rPr>
      <w:rFonts w:ascii="Times New Roman" w:eastAsia="Times New Roman" w:hAnsi="Times New Roman"/>
      <w:b/>
      <w:bCs/>
      <w:kern w:val="28"/>
      <w:sz w:val="15"/>
      <w:lang w:eastAsia="en-US"/>
    </w:rPr>
  </w:style>
  <w:style w:type="character" w:customStyle="1" w:styleId="Heading2Char">
    <w:name w:val="Heading 2 Char"/>
    <w:aliases w:val="PARA2 Char,h 3 Char,Numbered - 2 Char"/>
    <w:link w:val="Heading2"/>
    <w:uiPriority w:val="99"/>
    <w:rsid w:val="00931BC0"/>
    <w:rPr>
      <w:rFonts w:ascii="Times New Roman" w:eastAsia="Times New Roman" w:hAnsi="Times New Roman"/>
      <w:sz w:val="15"/>
      <w:lang w:eastAsia="en-US"/>
    </w:rPr>
  </w:style>
  <w:style w:type="character" w:customStyle="1" w:styleId="Heading3Char">
    <w:name w:val="Heading 3 Char"/>
    <w:aliases w:val="H3 Char,h3 Char,3 Char,Numbered - 3 Char,HeadC Char"/>
    <w:link w:val="Heading3"/>
    <w:uiPriority w:val="99"/>
    <w:rsid w:val="00931BC0"/>
    <w:rPr>
      <w:rFonts w:ascii="Times New Roman" w:eastAsia="Times New Roman" w:hAnsi="Times New Roman"/>
      <w:sz w:val="15"/>
      <w:lang w:eastAsia="en-US"/>
    </w:rPr>
  </w:style>
  <w:style w:type="character" w:customStyle="1" w:styleId="Heading4Char">
    <w:name w:val="Heading 4 Char"/>
    <w:link w:val="Heading4"/>
    <w:uiPriority w:val="99"/>
    <w:rsid w:val="00312F30"/>
    <w:rPr>
      <w:rFonts w:ascii="Times New Roman" w:eastAsia="Times New Roman" w:hAnsi="Times New Roman" w:cs="Times New Roman"/>
      <w:szCs w:val="20"/>
    </w:rPr>
  </w:style>
  <w:style w:type="character" w:customStyle="1" w:styleId="Heading5Char">
    <w:name w:val="Heading 5 Char"/>
    <w:link w:val="Heading5"/>
    <w:uiPriority w:val="99"/>
    <w:rsid w:val="00312F30"/>
    <w:rPr>
      <w:rFonts w:ascii="Times New Roman" w:eastAsia="Times New Roman" w:hAnsi="Times New Roman" w:cs="Times New Roman"/>
      <w:szCs w:val="20"/>
    </w:rPr>
  </w:style>
  <w:style w:type="character" w:customStyle="1" w:styleId="Heading6Char">
    <w:name w:val="Heading 6 Char"/>
    <w:link w:val="Heading6"/>
    <w:uiPriority w:val="99"/>
    <w:rsid w:val="00312F30"/>
    <w:rPr>
      <w:rFonts w:ascii="Times New Roman" w:eastAsia="Times New Roman" w:hAnsi="Times New Roman" w:cs="Times New Roman"/>
      <w:szCs w:val="20"/>
    </w:rPr>
  </w:style>
  <w:style w:type="character" w:customStyle="1" w:styleId="Heading7Char">
    <w:name w:val="Heading 7 Char"/>
    <w:link w:val="Heading7"/>
    <w:uiPriority w:val="99"/>
    <w:rsid w:val="00312F30"/>
    <w:rPr>
      <w:rFonts w:ascii="Times New Roman" w:eastAsia="Times New Roman" w:hAnsi="Times New Roman" w:cs="Times New Roman"/>
      <w:szCs w:val="20"/>
    </w:rPr>
  </w:style>
  <w:style w:type="character" w:customStyle="1" w:styleId="Heading8Char">
    <w:name w:val="Heading 8 Char"/>
    <w:link w:val="Heading8"/>
    <w:uiPriority w:val="99"/>
    <w:rsid w:val="00312F30"/>
    <w:rPr>
      <w:rFonts w:ascii="Times New Roman" w:eastAsia="Times New Roman" w:hAnsi="Times New Roman" w:cs="Times New Roman"/>
      <w:b/>
      <w:caps/>
      <w:szCs w:val="20"/>
    </w:rPr>
  </w:style>
  <w:style w:type="character" w:customStyle="1" w:styleId="Heading9Char">
    <w:name w:val="Heading 9 Char"/>
    <w:link w:val="Heading9"/>
    <w:uiPriority w:val="99"/>
    <w:rsid w:val="00312F30"/>
    <w:rPr>
      <w:rFonts w:ascii="Times New Roman" w:eastAsia="Times New Roman" w:hAnsi="Times New Roman" w:cs="Times New Roman"/>
      <w:b/>
      <w:szCs w:val="20"/>
    </w:rPr>
  </w:style>
  <w:style w:type="paragraph" w:customStyle="1" w:styleId="MarginText">
    <w:name w:val="Margin Text"/>
    <w:basedOn w:val="BodyText"/>
    <w:uiPriority w:val="99"/>
    <w:rsid w:val="00312F30"/>
    <w:pPr>
      <w:widowControl/>
      <w:spacing w:after="240" w:line="360" w:lineRule="auto"/>
    </w:pPr>
  </w:style>
  <w:style w:type="paragraph" w:styleId="BodyText">
    <w:name w:val="Body Text"/>
    <w:basedOn w:val="Normal"/>
    <w:link w:val="BodyTextChar"/>
    <w:uiPriority w:val="99"/>
    <w:semiHidden/>
    <w:unhideWhenUsed/>
    <w:rsid w:val="00312F30"/>
    <w:pPr>
      <w:spacing w:after="120"/>
    </w:pPr>
  </w:style>
  <w:style w:type="character" w:customStyle="1" w:styleId="BodyTextChar">
    <w:name w:val="Body Text Char"/>
    <w:link w:val="BodyText"/>
    <w:uiPriority w:val="99"/>
    <w:semiHidden/>
    <w:rsid w:val="00312F3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63847"/>
    <w:rPr>
      <w:rFonts w:ascii="Tahoma" w:hAnsi="Tahoma" w:cs="Tahoma"/>
      <w:sz w:val="16"/>
      <w:szCs w:val="16"/>
    </w:rPr>
  </w:style>
  <w:style w:type="character" w:customStyle="1" w:styleId="BalloonTextChar">
    <w:name w:val="Balloon Text Char"/>
    <w:link w:val="BalloonText"/>
    <w:uiPriority w:val="99"/>
    <w:semiHidden/>
    <w:rsid w:val="00F63847"/>
    <w:rPr>
      <w:rFonts w:ascii="Tahoma" w:eastAsia="Times New Roman" w:hAnsi="Tahoma" w:cs="Tahoma"/>
      <w:sz w:val="16"/>
      <w:szCs w:val="16"/>
    </w:rPr>
  </w:style>
  <w:style w:type="paragraph" w:styleId="ListParagraph">
    <w:name w:val="List Paragraph"/>
    <w:basedOn w:val="Normal"/>
    <w:uiPriority w:val="34"/>
    <w:qFormat/>
    <w:rsid w:val="00FE479C"/>
    <w:pPr>
      <w:ind w:left="720"/>
      <w:contextualSpacing/>
    </w:pPr>
  </w:style>
  <w:style w:type="character" w:styleId="CommentReference">
    <w:name w:val="annotation reference"/>
    <w:uiPriority w:val="99"/>
    <w:semiHidden/>
    <w:unhideWhenUsed/>
    <w:rsid w:val="00B70A76"/>
    <w:rPr>
      <w:sz w:val="16"/>
      <w:szCs w:val="16"/>
    </w:rPr>
  </w:style>
  <w:style w:type="paragraph" w:styleId="CommentText">
    <w:name w:val="annotation text"/>
    <w:basedOn w:val="Normal"/>
    <w:link w:val="CommentTextChar"/>
    <w:uiPriority w:val="99"/>
    <w:semiHidden/>
    <w:unhideWhenUsed/>
    <w:rsid w:val="00B70A76"/>
    <w:rPr>
      <w:sz w:val="20"/>
    </w:rPr>
  </w:style>
  <w:style w:type="character" w:customStyle="1" w:styleId="CommentTextChar">
    <w:name w:val="Comment Text Char"/>
    <w:link w:val="CommentText"/>
    <w:uiPriority w:val="99"/>
    <w:semiHidden/>
    <w:rsid w:val="00B70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6"/>
    <w:rPr>
      <w:b/>
      <w:bCs/>
    </w:rPr>
  </w:style>
  <w:style w:type="character" w:customStyle="1" w:styleId="CommentSubjectChar">
    <w:name w:val="Comment Subject Char"/>
    <w:link w:val="CommentSubject"/>
    <w:uiPriority w:val="99"/>
    <w:semiHidden/>
    <w:rsid w:val="00B70A7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33E2"/>
    <w:pPr>
      <w:tabs>
        <w:tab w:val="center" w:pos="4513"/>
        <w:tab w:val="right" w:pos="9026"/>
      </w:tabs>
    </w:pPr>
  </w:style>
  <w:style w:type="character" w:customStyle="1" w:styleId="HeaderChar">
    <w:name w:val="Header Char"/>
    <w:link w:val="Header"/>
    <w:uiPriority w:val="99"/>
    <w:rsid w:val="00FD33E2"/>
    <w:rPr>
      <w:rFonts w:ascii="Times New Roman" w:eastAsia="Times New Roman" w:hAnsi="Times New Roman" w:cs="Times New Roman"/>
      <w:szCs w:val="20"/>
    </w:rPr>
  </w:style>
  <w:style w:type="paragraph" w:styleId="Footer">
    <w:name w:val="footer"/>
    <w:basedOn w:val="Normal"/>
    <w:link w:val="FooterChar"/>
    <w:uiPriority w:val="99"/>
    <w:unhideWhenUsed/>
    <w:rsid w:val="00FD33E2"/>
    <w:pPr>
      <w:tabs>
        <w:tab w:val="center" w:pos="4513"/>
        <w:tab w:val="right" w:pos="9026"/>
      </w:tabs>
    </w:pPr>
  </w:style>
  <w:style w:type="character" w:customStyle="1" w:styleId="FooterChar">
    <w:name w:val="Footer Char"/>
    <w:link w:val="Footer"/>
    <w:uiPriority w:val="99"/>
    <w:rsid w:val="00FD33E2"/>
    <w:rPr>
      <w:rFonts w:ascii="Times New Roman" w:eastAsia="Times New Roman" w:hAnsi="Times New Roman" w:cs="Times New Roman"/>
      <w:szCs w:val="20"/>
    </w:rPr>
  </w:style>
  <w:style w:type="character" w:styleId="Hyperlink">
    <w:name w:val="Hyperlink"/>
    <w:uiPriority w:val="99"/>
    <w:unhideWhenUsed/>
    <w:rsid w:val="0096395A"/>
    <w:rPr>
      <w:color w:val="0000FF"/>
      <w:u w:val="single"/>
    </w:rPr>
  </w:style>
  <w:style w:type="table" w:styleId="TableGrid">
    <w:name w:val="Table Grid"/>
    <w:basedOn w:val="TableNormal"/>
    <w:uiPriority w:val="39"/>
    <w:rsid w:val="003C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5968FF"/>
  </w:style>
  <w:style w:type="character" w:styleId="UnresolvedMention">
    <w:name w:val="Unresolved Mention"/>
    <w:basedOn w:val="DefaultParagraphFont"/>
    <w:uiPriority w:val="99"/>
    <w:rsid w:val="00012638"/>
    <w:rPr>
      <w:color w:val="605E5C"/>
      <w:shd w:val="clear" w:color="auto" w:fill="E1DFDD"/>
    </w:rPr>
  </w:style>
  <w:style w:type="paragraph" w:customStyle="1" w:styleId="Normal2">
    <w:name w:val="Normal 2"/>
    <w:rsid w:val="00833286"/>
    <w:pPr>
      <w:jc w:val="both"/>
    </w:pPr>
    <w:rPr>
      <w:rFonts w:ascii="Verdana" w:eastAsia="Times New Roman" w:hAnsi="Verdana"/>
      <w:lang w:eastAsia="en-US"/>
    </w:rPr>
  </w:style>
  <w:style w:type="paragraph" w:customStyle="1" w:styleId="Background">
    <w:name w:val="Background"/>
    <w:aliases w:val="(A) Background"/>
    <w:basedOn w:val="Normal"/>
    <w:rsid w:val="00CA41BD"/>
    <w:pPr>
      <w:widowControl/>
      <w:numPr>
        <w:numId w:val="21"/>
      </w:numPr>
      <w:overflowPunct/>
      <w:autoSpaceDE/>
      <w:autoSpaceDN/>
      <w:adjustRightInd/>
      <w:spacing w:before="120" w:after="120" w:line="300" w:lineRule="atLeast"/>
      <w:textAlignment w:val="auto"/>
    </w:pPr>
    <w:rPr>
      <w:rFonts w:ascii="Arial" w:eastAsia="Arial Unicode MS" w:hAnsi="Arial" w:cs="Arial"/>
      <w:color w:val="000000"/>
    </w:rPr>
  </w:style>
  <w:style w:type="paragraph" w:customStyle="1" w:styleId="TitleClause">
    <w:name w:val="Title Clause"/>
    <w:basedOn w:val="Normal"/>
    <w:rsid w:val="00CA41BD"/>
    <w:pPr>
      <w:keepNext/>
      <w:widowControl/>
      <w:numPr>
        <w:numId w:val="22"/>
      </w:numPr>
      <w:overflowPunct/>
      <w:autoSpaceDE/>
      <w:autoSpaceDN/>
      <w:adjustRightInd/>
      <w:spacing w:before="240" w:after="240" w:line="300" w:lineRule="atLeast"/>
      <w:textAlignment w:val="auto"/>
      <w:outlineLvl w:val="0"/>
    </w:pPr>
    <w:rPr>
      <w:rFonts w:ascii="Arial" w:eastAsia="Arial Unicode MS" w:hAnsi="Arial" w:cs="Arial"/>
      <w:b/>
      <w:color w:val="000000"/>
      <w:kern w:val="28"/>
    </w:rPr>
  </w:style>
  <w:style w:type="paragraph" w:customStyle="1" w:styleId="Untitledsubclause1">
    <w:name w:val="Untitled subclause 1"/>
    <w:basedOn w:val="Normal"/>
    <w:rsid w:val="00CA41BD"/>
    <w:pPr>
      <w:widowControl/>
      <w:numPr>
        <w:ilvl w:val="1"/>
        <w:numId w:val="22"/>
      </w:numPr>
      <w:overflowPunct/>
      <w:autoSpaceDE/>
      <w:autoSpaceDN/>
      <w:adjustRightInd/>
      <w:spacing w:before="280" w:after="120" w:line="300" w:lineRule="atLeast"/>
      <w:textAlignment w:val="auto"/>
      <w:outlineLvl w:val="1"/>
    </w:pPr>
    <w:rPr>
      <w:rFonts w:ascii="Arial" w:eastAsia="Arial Unicode MS" w:hAnsi="Arial" w:cs="Arial"/>
      <w:color w:val="000000"/>
    </w:rPr>
  </w:style>
  <w:style w:type="paragraph" w:customStyle="1" w:styleId="Untitledsubclause2">
    <w:name w:val="Untitled subclause 2"/>
    <w:basedOn w:val="Normal"/>
    <w:rsid w:val="00CA41BD"/>
    <w:pPr>
      <w:widowControl/>
      <w:numPr>
        <w:ilvl w:val="2"/>
        <w:numId w:val="22"/>
      </w:numPr>
      <w:overflowPunct/>
      <w:autoSpaceDE/>
      <w:autoSpaceDN/>
      <w:adjustRightInd/>
      <w:spacing w:after="120" w:line="300" w:lineRule="atLeast"/>
      <w:textAlignment w:val="auto"/>
      <w:outlineLvl w:val="2"/>
    </w:pPr>
    <w:rPr>
      <w:rFonts w:ascii="Arial" w:eastAsia="Arial Unicode MS" w:hAnsi="Arial" w:cs="Arial"/>
      <w:color w:val="000000"/>
    </w:rPr>
  </w:style>
  <w:style w:type="paragraph" w:customStyle="1" w:styleId="Untitledsubclause3">
    <w:name w:val="Untitled subclause 3"/>
    <w:basedOn w:val="Normal"/>
    <w:rsid w:val="00CA41BD"/>
    <w:pPr>
      <w:widowControl/>
      <w:numPr>
        <w:ilvl w:val="3"/>
        <w:numId w:val="22"/>
      </w:numPr>
      <w:tabs>
        <w:tab w:val="left" w:pos="2261"/>
      </w:tabs>
      <w:overflowPunct/>
      <w:autoSpaceDE/>
      <w:autoSpaceDN/>
      <w:adjustRightInd/>
      <w:spacing w:after="120" w:line="300" w:lineRule="atLeast"/>
      <w:textAlignment w:val="auto"/>
      <w:outlineLvl w:val="3"/>
    </w:pPr>
    <w:rPr>
      <w:rFonts w:ascii="Arial" w:eastAsia="Arial Unicode MS" w:hAnsi="Arial" w:cs="Arial"/>
      <w:color w:val="000000"/>
    </w:rPr>
  </w:style>
  <w:style w:type="paragraph" w:customStyle="1" w:styleId="Untitledsubclause4">
    <w:name w:val="Untitled subclause 4"/>
    <w:basedOn w:val="Normal"/>
    <w:rsid w:val="00CA41BD"/>
    <w:pPr>
      <w:widowControl/>
      <w:numPr>
        <w:ilvl w:val="4"/>
        <w:numId w:val="22"/>
      </w:numPr>
      <w:overflowPunct/>
      <w:autoSpaceDE/>
      <w:autoSpaceDN/>
      <w:adjustRightInd/>
      <w:spacing w:after="120" w:line="300" w:lineRule="atLeast"/>
      <w:textAlignment w:val="auto"/>
      <w:outlineLvl w:val="4"/>
    </w:pPr>
    <w:rPr>
      <w:rFonts w:ascii="Arial" w:eastAsia="Arial Unicode MS" w:hAnsi="Arial" w:cs="Arial"/>
      <w:color w:val="000000"/>
    </w:rPr>
  </w:style>
  <w:style w:type="paragraph" w:customStyle="1" w:styleId="BackgroundSubclause1">
    <w:name w:val="Background Subclause1"/>
    <w:basedOn w:val="Background"/>
    <w:qFormat/>
    <w:rsid w:val="00CA41BD"/>
    <w:pPr>
      <w:numPr>
        <w:ilvl w:val="1"/>
      </w:numPr>
    </w:pPr>
  </w:style>
  <w:style w:type="paragraph" w:customStyle="1" w:styleId="BackgroundSubclause2">
    <w:name w:val="Background Subclause2"/>
    <w:basedOn w:val="Background"/>
    <w:qFormat/>
    <w:rsid w:val="00CA41BD"/>
    <w:pPr>
      <w:numPr>
        <w:ilvl w:val="3"/>
      </w:numPr>
    </w:pPr>
  </w:style>
  <w:style w:type="character" w:styleId="FollowedHyperlink">
    <w:name w:val="FollowedHyperlink"/>
    <w:basedOn w:val="DefaultParagraphFont"/>
    <w:uiPriority w:val="99"/>
    <w:semiHidden/>
    <w:unhideWhenUsed/>
    <w:rsid w:val="00942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786">
      <w:bodyDiv w:val="1"/>
      <w:marLeft w:val="0"/>
      <w:marRight w:val="0"/>
      <w:marTop w:val="0"/>
      <w:marBottom w:val="0"/>
      <w:divBdr>
        <w:top w:val="none" w:sz="0" w:space="0" w:color="auto"/>
        <w:left w:val="none" w:sz="0" w:space="0" w:color="auto"/>
        <w:bottom w:val="none" w:sz="0" w:space="0" w:color="auto"/>
        <w:right w:val="none" w:sz="0" w:space="0" w:color="auto"/>
      </w:divBdr>
    </w:div>
    <w:div w:id="916356820">
      <w:bodyDiv w:val="1"/>
      <w:marLeft w:val="0"/>
      <w:marRight w:val="0"/>
      <w:marTop w:val="0"/>
      <w:marBottom w:val="0"/>
      <w:divBdr>
        <w:top w:val="none" w:sz="0" w:space="0" w:color="auto"/>
        <w:left w:val="none" w:sz="0" w:space="0" w:color="auto"/>
        <w:bottom w:val="none" w:sz="0" w:space="0" w:color="auto"/>
        <w:right w:val="none" w:sz="0" w:space="0" w:color="auto"/>
      </w:divBdr>
    </w:div>
    <w:div w:id="944772808">
      <w:bodyDiv w:val="1"/>
      <w:marLeft w:val="0"/>
      <w:marRight w:val="0"/>
      <w:marTop w:val="0"/>
      <w:marBottom w:val="0"/>
      <w:divBdr>
        <w:top w:val="none" w:sz="0" w:space="0" w:color="auto"/>
        <w:left w:val="none" w:sz="0" w:space="0" w:color="auto"/>
        <w:bottom w:val="none" w:sz="0" w:space="0" w:color="auto"/>
        <w:right w:val="none" w:sz="0" w:space="0" w:color="auto"/>
      </w:divBdr>
      <w:divsChild>
        <w:div w:id="1374623450">
          <w:marLeft w:val="0"/>
          <w:marRight w:val="0"/>
          <w:marTop w:val="0"/>
          <w:marBottom w:val="0"/>
          <w:divBdr>
            <w:top w:val="none" w:sz="0" w:space="0" w:color="auto"/>
            <w:left w:val="none" w:sz="0" w:space="0" w:color="auto"/>
            <w:bottom w:val="none" w:sz="0" w:space="0" w:color="auto"/>
            <w:right w:val="none" w:sz="0" w:space="0" w:color="auto"/>
          </w:divBdr>
          <w:divsChild>
            <w:div w:id="2139254630">
              <w:marLeft w:val="0"/>
              <w:marRight w:val="0"/>
              <w:marTop w:val="0"/>
              <w:marBottom w:val="0"/>
              <w:divBdr>
                <w:top w:val="none" w:sz="0" w:space="0" w:color="auto"/>
                <w:left w:val="none" w:sz="0" w:space="0" w:color="auto"/>
                <w:bottom w:val="none" w:sz="0" w:space="0" w:color="auto"/>
                <w:right w:val="none" w:sz="0" w:space="0" w:color="auto"/>
              </w:divBdr>
              <w:divsChild>
                <w:div w:id="156649864">
                  <w:marLeft w:val="0"/>
                  <w:marRight w:val="0"/>
                  <w:marTop w:val="0"/>
                  <w:marBottom w:val="0"/>
                  <w:divBdr>
                    <w:top w:val="none" w:sz="0" w:space="0" w:color="auto"/>
                    <w:left w:val="none" w:sz="0" w:space="0" w:color="auto"/>
                    <w:bottom w:val="none" w:sz="0" w:space="0" w:color="auto"/>
                    <w:right w:val="none" w:sz="0" w:space="0" w:color="auto"/>
                  </w:divBdr>
                  <w:divsChild>
                    <w:div w:id="19923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4461">
      <w:bodyDiv w:val="1"/>
      <w:marLeft w:val="0"/>
      <w:marRight w:val="0"/>
      <w:marTop w:val="0"/>
      <w:marBottom w:val="0"/>
      <w:divBdr>
        <w:top w:val="none" w:sz="0" w:space="0" w:color="auto"/>
        <w:left w:val="none" w:sz="0" w:space="0" w:color="auto"/>
        <w:bottom w:val="none" w:sz="0" w:space="0" w:color="auto"/>
        <w:right w:val="none" w:sz="0" w:space="0" w:color="auto"/>
      </w:divBdr>
      <w:divsChild>
        <w:div w:id="1489595367">
          <w:marLeft w:val="0"/>
          <w:marRight w:val="0"/>
          <w:marTop w:val="0"/>
          <w:marBottom w:val="0"/>
          <w:divBdr>
            <w:top w:val="none" w:sz="0" w:space="0" w:color="auto"/>
            <w:left w:val="none" w:sz="0" w:space="0" w:color="auto"/>
            <w:bottom w:val="none" w:sz="0" w:space="0" w:color="auto"/>
            <w:right w:val="none" w:sz="0" w:space="0" w:color="auto"/>
          </w:divBdr>
          <w:divsChild>
            <w:div w:id="693311222">
              <w:marLeft w:val="0"/>
              <w:marRight w:val="0"/>
              <w:marTop w:val="0"/>
              <w:marBottom w:val="0"/>
              <w:divBdr>
                <w:top w:val="none" w:sz="0" w:space="0" w:color="auto"/>
                <w:left w:val="none" w:sz="0" w:space="0" w:color="auto"/>
                <w:bottom w:val="none" w:sz="0" w:space="0" w:color="auto"/>
                <w:right w:val="none" w:sz="0" w:space="0" w:color="auto"/>
              </w:divBdr>
              <w:divsChild>
                <w:div w:id="2142839878">
                  <w:marLeft w:val="0"/>
                  <w:marRight w:val="0"/>
                  <w:marTop w:val="0"/>
                  <w:marBottom w:val="0"/>
                  <w:divBdr>
                    <w:top w:val="none" w:sz="0" w:space="0" w:color="auto"/>
                    <w:left w:val="none" w:sz="0" w:space="0" w:color="auto"/>
                    <w:bottom w:val="none" w:sz="0" w:space="0" w:color="auto"/>
                    <w:right w:val="none" w:sz="0" w:space="0" w:color="auto"/>
                  </w:divBdr>
                </w:div>
              </w:divsChild>
            </w:div>
            <w:div w:id="23606224">
              <w:marLeft w:val="0"/>
              <w:marRight w:val="0"/>
              <w:marTop w:val="0"/>
              <w:marBottom w:val="0"/>
              <w:divBdr>
                <w:top w:val="none" w:sz="0" w:space="0" w:color="auto"/>
                <w:left w:val="none" w:sz="0" w:space="0" w:color="auto"/>
                <w:bottom w:val="none" w:sz="0" w:space="0" w:color="auto"/>
                <w:right w:val="none" w:sz="0" w:space="0" w:color="auto"/>
              </w:divBdr>
              <w:divsChild>
                <w:div w:id="581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6424">
          <w:marLeft w:val="0"/>
          <w:marRight w:val="0"/>
          <w:marTop w:val="0"/>
          <w:marBottom w:val="0"/>
          <w:divBdr>
            <w:top w:val="none" w:sz="0" w:space="0" w:color="auto"/>
            <w:left w:val="none" w:sz="0" w:space="0" w:color="auto"/>
            <w:bottom w:val="none" w:sz="0" w:space="0" w:color="auto"/>
            <w:right w:val="none" w:sz="0" w:space="0" w:color="auto"/>
          </w:divBdr>
          <w:divsChild>
            <w:div w:id="703136906">
              <w:marLeft w:val="0"/>
              <w:marRight w:val="0"/>
              <w:marTop w:val="0"/>
              <w:marBottom w:val="0"/>
              <w:divBdr>
                <w:top w:val="none" w:sz="0" w:space="0" w:color="auto"/>
                <w:left w:val="none" w:sz="0" w:space="0" w:color="auto"/>
                <w:bottom w:val="none" w:sz="0" w:space="0" w:color="auto"/>
                <w:right w:val="none" w:sz="0" w:space="0" w:color="auto"/>
              </w:divBdr>
              <w:divsChild>
                <w:div w:id="2009138671">
                  <w:marLeft w:val="0"/>
                  <w:marRight w:val="0"/>
                  <w:marTop w:val="0"/>
                  <w:marBottom w:val="0"/>
                  <w:divBdr>
                    <w:top w:val="none" w:sz="0" w:space="0" w:color="auto"/>
                    <w:left w:val="none" w:sz="0" w:space="0" w:color="auto"/>
                    <w:bottom w:val="none" w:sz="0" w:space="0" w:color="auto"/>
                    <w:right w:val="none" w:sz="0" w:space="0" w:color="auto"/>
                  </w:divBdr>
                  <w:divsChild>
                    <w:div w:id="7781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8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08836/18.docx.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HTML/?uri=CELEX:32016R0679" TargetMode="External"/><Relationship Id="rId5" Type="http://schemas.openxmlformats.org/officeDocument/2006/relationships/webSettings" Target="webSettings.xml"/><Relationship Id="rId10" Type="http://schemas.openxmlformats.org/officeDocument/2006/relationships/hyperlink" Target="https://static.lgfl.net/LgflNet/downloads/policies/LGfL%20Acceptable%20Use%20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9970-4177-40EB-A896-7E99D711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Base/>
  <HLinks>
    <vt:vector size="6" baseType="variant">
      <vt:variant>
        <vt:i4>4128885</vt:i4>
      </vt:variant>
      <vt:variant>
        <vt:i4>38643</vt:i4>
      </vt:variant>
      <vt:variant>
        <vt:i4>1026</vt:i4>
      </vt:variant>
      <vt:variant>
        <vt:i4>1</vt:i4>
      </vt:variant>
      <vt:variant>
        <vt:lpwstr>LGFL NEW LOGO 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2020-09-28T15:16:00Z</dcterms:created>
  <dcterms:modified xsi:type="dcterms:W3CDTF">2020-09-28T15:16:00Z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17637866.1</vt:lpwstr>
  </property>
  <property fmtid="{D5CDD505-2E9C-101B-9397-08002B2CF9AE}" pid="3" name="OurRef">
    <vt:lpwstr>SJJ/GSM/309281-00003</vt:lpwstr>
  </property>
</Properties>
</file>